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t xml:space="preserve"/>
      </w:r>
    </w:p>
    <w:p>
      <w:pPr>
        <w:spacing w:after="60"/>
        <w:jc w:val="center"/>
      </w:pPr>
      <w:r>
        <w:rPr>
          <w:rFonts w:ascii="Times New Roman" w:cs="Times New Roman" w:eastAsia="Times New Roman" w:hAnsi="Times New Roman"/>
          <w:b/>
          <w:bCs/>
          <w:sz w:val="28"/>
          <w:szCs w:val="28"/>
        </w:rPr>
        <w:t xml:space="preserve">Volumetric Three-Axis Orthogonal Optical Storage:</w:t>
      </w:r>
    </w:p>
    <w:p>
      <w:pPr>
        <w:spacing w:after="200"/>
        <w:jc w:val="center"/>
      </w:pPr>
      <w:r>
        <w:rPr>
          <w:rFonts w:ascii="Times New Roman" w:cs="Times New Roman" w:eastAsia="Times New Roman" w:hAnsi="Times New Roman"/>
          <w:b w:val="false"/>
          <w:bCs w:val="false"/>
          <w:sz w:val="24"/>
          <w:szCs w:val="24"/>
        </w:rPr>
        <w:t xml:space="preserve">A Rewritable Block-Level Architecture for Solid-State Glass Matrices</w:t>
      </w:r>
    </w:p>
    <w:p>
      <w:pPr>
        <w:spacing w:after="60"/>
        <w:jc w:val="center"/>
      </w:pPr>
      <w:r>
        <w:rPr>
          <w:rFonts w:ascii="Times New Roman" w:cs="Times New Roman" w:eastAsia="Times New Roman" w:hAnsi="Times New Roman"/>
          <w:b w:val="false"/>
          <w:bCs w:val="false"/>
          <w:sz w:val="20"/>
          <w:szCs w:val="20"/>
        </w:rPr>
        <w:t xml:space="preserve">Draft v2.0 — Revised to Incorporate Formal Architectural Appendix</w:t>
      </w:r>
    </w:p>
    <w:p>
      <w:pPr>
        <w:pBdr>
          <w:bottom w:val="single" w:color="444444" w:sz="6" w:space="1"/>
        </w:pBdr>
        <w:spacing w:after="160" w:before="160"/>
      </w:pPr>
      <w:r>
        <w:rPr>
          <w:sz w:val="4"/>
          <w:szCs w:val="4"/>
        </w:rPr>
        <w:t xml:space="preserve"/>
      </w:r>
    </w:p>
    <w:p>
      <w:pPr>
        <w:spacing w:after="80"/>
        <w:jc w:val="center"/>
      </w:pPr>
      <w:r>
        <w:rPr>
          <w:rFonts w:ascii="Times New Roman" w:cs="Times New Roman" w:eastAsia="Times New Roman" w:hAnsi="Times New Roman"/>
          <w:b/>
          <w:bCs/>
          <w:sz w:val="22"/>
          <w:szCs w:val="22"/>
        </w:rPr>
        <w:t xml:space="preserve">Abstract</w:t>
      </w:r>
    </w:p>
    <w:p>
      <w:pPr>
        <w:spacing w:after="120" w:line="276" w:lineRule="auto"/>
        <w:jc w:val="both"/>
      </w:pPr>
      <w:r>
        <w:rPr>
          <w:rFonts w:ascii="Times New Roman" w:cs="Times New Roman" w:eastAsia="Times New Roman" w:hAnsi="Times New Roman"/>
          <w:sz w:val="22"/>
          <w:szCs w:val="22"/>
        </w:rPr>
        <w:t xml:space="preserve">Traditional five-dimensional (5D) optical data storage architectures offer unprecedented archival longevity and high volumetric data density, yet they remain fundamentally constrained by Write-Once, Read-Many (WORM) physical limitations and optical shadowing along the focal depth axis. This paper introduces a novel volumetric optical storage architecture designed to introduce active block-level rewritability within an immutable solid-state glass substrate. Housed within a localized 16 mm cubic medium operating on a 1.5 μm lateral / 5.0 μm axial voxel pitch, the system replaces single-axis focal optics with a three-axis orthogonal camera and laser array positioned at the bottom and two adjacent lateral faces. Each voxel encodes up to 18 bits of information through a combined scheme: 14 binary directional path states (the novel 14-Ray Voxel Matrix) plus 4 bits of multilevel phase-shift encoding, yielding a gross physical capacity of approximately 814 GB. This spatial configuration eliminates Z-axis degradation by utilizing simultaneous low-energy beam convergence to execute sub-voxel modifications while enabling real-time tomographic visual reconstruction of the 3D matrix.</w:t>
      </w:r>
    </w:p>
    <w:p>
      <w:pPr>
        <w:spacing w:after="120" w:line="276" w:lineRule="auto"/>
        <w:jc w:val="both"/>
      </w:pPr>
      <w:r>
        <w:rPr>
          <w:rFonts w:ascii="Times New Roman" w:cs="Times New Roman" w:eastAsia="Times New Roman" w:hAnsi="Times New Roman"/>
          <w:sz w:val="22"/>
          <w:szCs w:val="22"/>
        </w:rPr>
        <w:t xml:space="preserve">To manage data mutability without structural material degradation, the architecture implements an Optical Flash Translation Layer (OFTL) structured around a 62.8% over-provisioning framework. Within the 814 GB physical envelope, a fixed 500 GB logical user partition is exposed to the host, while a 314 GB hidden spare area pool supports dynamic spatial remapping of updated data blocks. Rewrite operations are managed via out-of-place writes, tombstoning, and wear-leveling dispersion. The endurance budget follows E_lifecycle = 314 GB / B_size, sustaining approximately 3,215 localized 100 MB updates or 32 full-scale 10 GB rewrites before spare area exhaustion. At saturation, a permanent hardware read-only lockout preserves the final state for long-term archive tracking.</w:t>
      </w:r>
    </w:p>
    <w:p>
      <w:pPr>
        <w:spacing w:after="160"/>
        <w:jc w:val="both"/>
      </w:pPr>
      <w:r>
        <w:rPr>
          <w:rFonts w:ascii="Times New Roman" w:cs="Times New Roman" w:eastAsia="Times New Roman" w:hAnsi="Times New Roman"/>
          <w:b/>
          <w:bCs/>
          <w:sz w:val="22"/>
          <w:szCs w:val="22"/>
        </w:rPr>
        <w:t xml:space="preserve">Keywords: </w:t>
      </w:r>
      <w:r>
        <w:rPr>
          <w:rFonts w:ascii="Times New Roman" w:cs="Times New Roman" w:eastAsia="Times New Roman" w:hAnsi="Times New Roman"/>
          <w:sz w:val="22"/>
          <w:szCs w:val="22"/>
        </w:rPr>
        <w:t xml:space="preserve">14-Ray Voxel Matrix, Volumetric Optical Storage, 5D Data Storage, Optical Flash Translation Layer, Over-Provisioning, Orthogonal Laser Arrays, Tomographic Reconstruction, Femtosecond Laser Writing, Nanograting Superposition, Wear Leveling, Cubic Glass Medium</w:t>
      </w:r>
    </w:p>
    <w:p>
      <w:pPr>
        <w:pBdr>
          <w:bottom w:val="single" w:color="444444" w:sz="6" w:space="1"/>
        </w:pBdr>
        <w:spacing w:after="160" w:before="160"/>
      </w:pPr>
      <w:r>
        <w:rPr>
          <w:sz w:val="4"/>
          <w:szCs w:val="4"/>
        </w:rPr>
        <w:t xml:space="preserve"/>
      </w:r>
    </w:p>
    <w:p>
      <w:pPr>
        <w:spacing w:after="140" w:before="300"/>
      </w:pPr>
      <w:r>
        <w:rPr>
          <w:rFonts w:ascii="Times New Roman" w:cs="Times New Roman" w:eastAsia="Times New Roman" w:hAnsi="Times New Roman"/>
          <w:b/>
          <w:bCs/>
          <w:sz w:val="24"/>
          <w:szCs w:val="24"/>
        </w:rPr>
        <w:t xml:space="preserve">1. INTRODUCTION</w:t>
      </w:r>
    </w:p>
    <w:p>
      <w:pPr>
        <w:spacing w:after="120" w:line="276" w:lineRule="auto"/>
        <w:jc w:val="both"/>
      </w:pPr>
      <w:r>
        <w:rPr>
          <w:rFonts w:ascii="Times New Roman" w:cs="Times New Roman" w:eastAsia="Times New Roman" w:hAnsi="Times New Roman"/>
          <w:sz w:val="22"/>
          <w:szCs w:val="22"/>
        </w:rPr>
        <w:t xml:space="preserve">The exponential growth of global data generation has placed enormous pressure on long-term archival storage infrastructure. Industry analysts project aggregate global data volumes to exceed hundreds of zettabytes within the current decade, with an increasing proportion classified as cold or immutable archival data — medical imaging libraries, scientific research corpora, legal records, and cultural heritage repositories — that must survive for decades or centuries without active management. Magnetic tape, the incumbent archival standard, offers competitive cost-per-terabyte economics but degrades chemically within fifteen to thirty years and requires periodic migration cycles, each carrying associated energy cost and risk of bit loss.</w:t>
      </w:r>
    </w:p>
    <w:p>
      <w:pPr>
        <w:spacing w:after="120" w:line="276" w:lineRule="auto"/>
        <w:jc w:val="both"/>
      </w:pPr>
      <w:r>
        <w:rPr>
          <w:rFonts w:ascii="Times New Roman" w:cs="Times New Roman" w:eastAsia="Times New Roman" w:hAnsi="Times New Roman"/>
          <w:sz w:val="22"/>
          <w:szCs w:val="22"/>
        </w:rPr>
        <w:t xml:space="preserve">Microsoft's Project Silica, the most mature commercial development of femtosecond laser-inscribed glass storage, has demonstrated quartz glass platters sustaining densities exceeding 1.59 gigabits per cubic millimeter with projected data lifespans of 10,000 years or more at ambient temperature. The platform encodes data as birefringent or phase-modifying nanoscale voxels across hundreds of discrete layers, survives demagnetization, flooding, and oven-temperature baking without data loss, and requires no power to preserve inscribed data. However, as with all prior femtosecond laser glass storage platforms, Project Silica is architecturally constrained to a Write-Once, Read-Many (WORM) operational model. Once a voxel is inscribed, no mechanism exists within the system to update, correct, or overwrite that physical coordinate without full-medium replacement. Simultaneously, the single-axis focal approach introduces progressive degradation of write fidelity and read signal quality as focal depth increases along the Z-axis.</w:t>
      </w:r>
    </w:p>
    <w:p>
      <w:pPr>
        <w:spacing w:after="120" w:line="276" w:lineRule="auto"/>
        <w:jc w:val="both"/>
      </w:pPr>
      <w:r>
        <w:rPr>
          <w:rFonts w:ascii="Times New Roman" w:cs="Times New Roman" w:eastAsia="Times New Roman" w:hAnsi="Times New Roman"/>
          <w:sz w:val="22"/>
          <w:szCs w:val="22"/>
        </w:rPr>
        <w:t xml:space="preserve">This paper proposes a novel architectural synthesis addressing both limitations. The system introduces: (1) a three-axis orthogonal laser and camera array surrounding a compact 16 mm cubic glass medium; (2) a 14-Ray Voxel Matrix encoding scheme in which each voxel site encodes up to 14 independent binary directional modifications combined with 4-bit multilevel phase-shift encoding, for a total of 18 bits per voxel and approximately 814 GB gross capacity; (3) a convergent multi-beam writing scheme that localizes optical modification exclusively at the beam intersection volume; and (4) an Optical Flash Translation Layer (OFTL) that imposes block-level address virtualization over the physical coordinate space of the glass. These elements collectively enable a storage medium that transitions from actively rewritable to permanently archived — a mode termed finite-endurance active archival storage.</w:t>
      </w:r>
    </w:p>
    <w:p>
      <w:pPr>
        <w:spacing w:after="120" w:line="276" w:lineRule="auto"/>
        <w:jc w:val="both"/>
      </w:pPr>
      <w:r>
        <w:rPr>
          <w:rFonts w:ascii="Times New Roman" w:cs="Times New Roman" w:eastAsia="Times New Roman" w:hAnsi="Times New Roman"/>
          <w:sz w:val="22"/>
          <w:szCs w:val="22"/>
        </w:rPr>
        <w:t xml:space="preserve">This document is structured as follows: Sections 2 through 9 present the full technical paper; formal mathematical specifications, capacity derivations, and architecture diagrams appear in the appended Sections A through D. Where the appendix specifications conflict with or refine parameters in the main body, the appendix values take precedence. Mathematical errors identified in the appendix during peer review are corrected and annotated in Section B of the appendix.</w:t>
      </w:r>
    </w:p>
    <w:p>
      <w:pPr>
        <w:spacing w:after="140" w:before="300"/>
      </w:pPr>
      <w:r>
        <w:rPr>
          <w:rFonts w:ascii="Times New Roman" w:cs="Times New Roman" w:eastAsia="Times New Roman" w:hAnsi="Times New Roman"/>
          <w:b/>
          <w:bCs/>
          <w:sz w:val="24"/>
          <w:szCs w:val="24"/>
        </w:rPr>
        <w:t xml:space="preserve">2. BACKGROUND AND RELATED WORK</w:t>
      </w:r>
    </w:p>
    <w:p>
      <w:pPr>
        <w:spacing w:after="100" w:before="220"/>
      </w:pPr>
      <w:r>
        <w:rPr>
          <w:rFonts w:ascii="Times New Roman" w:cs="Times New Roman" w:eastAsia="Times New Roman" w:hAnsi="Times New Roman"/>
          <w:b/>
          <w:bCs/>
          <w:sz w:val="22"/>
          <w:szCs w:val="22"/>
        </w:rPr>
        <w:t xml:space="preserve">2.1  Five-Dimensional Optical Storage: Principles and Prior Art</w:t>
      </w:r>
    </w:p>
    <w:p>
      <w:pPr>
        <w:spacing w:after="120" w:line="276" w:lineRule="auto"/>
        <w:jc w:val="both"/>
      </w:pPr>
      <w:r>
        <w:rPr>
          <w:rFonts w:ascii="Times New Roman" w:cs="Times New Roman" w:eastAsia="Times New Roman" w:hAnsi="Times New Roman"/>
          <w:sz w:val="22"/>
          <w:szCs w:val="22"/>
        </w:rPr>
        <w:t xml:space="preserve">Three-dimensional optical data storage was first proposed by Glezer et al. in 1996 using femtosecond laser pulses to create refractive index voxels at arbitrary XYZ coordinates within transparent materials. The subsequent development of polarization-multiplexed encoding by Kazansky, Zhang, and collaborators at the University of Southampton added two additional encoding dimensions — the slow-axis orientation of self-assembled birefringent nanogratings and the retardance magnitude (proportional to laser pulse energy) — yielding what is designated "5D" storage, with theoretical projections approaching 360 TB per disc in fused silica substrates.</w:t>
      </w:r>
    </w:p>
    <w:p>
      <w:pPr>
        <w:spacing w:after="120" w:line="276" w:lineRule="auto"/>
        <w:jc w:val="both"/>
      </w:pPr>
      <w:r>
        <w:rPr>
          <w:rFonts w:ascii="Times New Roman" w:cs="Times New Roman" w:eastAsia="Times New Roman" w:hAnsi="Times New Roman"/>
          <w:sz w:val="22"/>
          <w:szCs w:val="22"/>
        </w:rPr>
        <w:t xml:space="preserve">Recent research has systematically expanded the per-voxel state space beyond the baseline scheme. The current literature reports a maximum of 4 bits per voxel under standard birefringent encoding, achieved through independent control of slow-axis orientation and retardance level across 16 combined states. Wang et al. (2022) demonstrated 7 bits per voxel in silica glass using 32 distinguishable azimuth orientations combined with 4 discrete retardance levels, yielding 128 total states per voxel with near-100% readout accuracy — a 75% improvement over the 4-bit baseline, albeit at reduced write speed. In parallel, shaped-voxel parallel writing techniques have demonstrated simultaneous inscription of 16 × 16 voxel arrays with 8 different slow-axis azimuths using digital micromirror device projection, opening a path toward dramatically higher write throughput.</w:t>
      </w:r>
    </w:p>
    <w:p>
      <w:pPr>
        <w:spacing w:after="120" w:line="276" w:lineRule="auto"/>
        <w:jc w:val="both"/>
      </w:pPr>
      <w:r>
        <w:rPr>
          <w:rFonts w:ascii="Times New Roman" w:cs="Times New Roman" w:eastAsia="Times New Roman" w:hAnsi="Times New Roman"/>
          <w:sz w:val="22"/>
          <w:szCs w:val="22"/>
        </w:rPr>
        <w:t xml:space="preserve">Project Silica (Microsoft Research, 2017–present) represents the most engineered near-commercial realization of this paradigm. Published specifications describe two voxel encoding methods: birefringent voxels in fused silica at 1.59 Gbit/mm³ and phase voxels in borosilicate glass at 0.678 Gbit/mm³. Write throughputs are currently measured at approximately 66 Mb/s. Individual voxels measure approximately 0.5 μm in diameter with a 6 μm center-to-center pitch. Data decoding employs convolutional neural networks and LDPC error correction. Accelerated aging tests confirm projected data stability exceeding 10,000 years at room temperature.</w:t>
      </w:r>
    </w:p>
    <w:p>
      <w:pPr>
        <w:spacing w:after="100" w:before="220"/>
      </w:pPr>
      <w:r>
        <w:rPr>
          <w:rFonts w:ascii="Times New Roman" w:cs="Times New Roman" w:eastAsia="Times New Roman" w:hAnsi="Times New Roman"/>
          <w:b/>
          <w:bCs/>
          <w:sz w:val="22"/>
          <w:szCs w:val="22"/>
        </w:rPr>
        <w:t xml:space="preserve">2.2  Voxel Encoding Geometry and the 14-Ray Concept</w:t>
      </w:r>
    </w:p>
    <w:p>
      <w:pPr>
        <w:spacing w:after="120" w:line="276" w:lineRule="auto"/>
        <w:jc w:val="both"/>
      </w:pPr>
      <w:r>
        <w:rPr>
          <w:rFonts w:ascii="Times New Roman" w:cs="Times New Roman" w:eastAsia="Times New Roman" w:hAnsi="Times New Roman"/>
          <w:sz w:val="22"/>
          <w:szCs w:val="22"/>
        </w:rPr>
        <w:t xml:space="preserve">All prior art constrains the per-voxel encoding space to a single modification instance at each coordinate — one nanograting with one orientation and one retardance level. The proposed 14-Ray Voxel Matrix (detailed formally in Appendix Section A) departs from this by treating each voxel as a 14-dimensional binary vector space, where each dimension corresponds to the presence or absence of a directional modification along one of 14 specific geometric ray paths: 6 cardinal axial paths (±X, ±Y, ±Z) and 8 isometric diagonal paths (the 8 vertex directions of the bounding cube). This yields a theoretical state space of 2¹⁴ = 16,384 states per site, encoding 14 bits of directional information.</w:t>
      </w:r>
    </w:p>
    <w:p>
      <w:pPr>
        <w:spacing w:after="120" w:line="276" w:lineRule="auto"/>
        <w:jc w:val="both"/>
      </w:pPr>
      <w:r>
        <w:rPr>
          <w:rFonts w:ascii="Times New Roman" w:cs="Times New Roman" w:eastAsia="Times New Roman" w:hAnsi="Times New Roman"/>
          <w:sz w:val="22"/>
          <w:szCs w:val="22"/>
        </w:rPr>
        <w:t xml:space="preserve">When combined with conventional 4-bit multilevel phase-shift encoding applied independently at each voxel site — as demonstrated in current 5D storage research — the combined per-voxel information content reaches 18 bits, producing a gross capacity of approximately 819 GB in a 16 mm cube at the specified pitch parameters (see Appendix Section B for the full derivation). The 14-ray scheme represents a significant extension of the existing angular encoding dimension: while current systems encode a single continuous azimuth angle across a 2D plane, the 14-ray system encodes 14 discrete 3D orientations simultaneously and independently. The physical feasibility of multi-ray superposition at a single voxel site is an open experimental question addressed in Section 5.3.</w:t>
      </w:r>
    </w:p>
    <w:p>
      <w:pPr>
        <w:spacing w:after="100" w:before="220"/>
      </w:pPr>
      <w:r>
        <w:rPr>
          <w:rFonts w:ascii="Times New Roman" w:cs="Times New Roman" w:eastAsia="Times New Roman" w:hAnsi="Times New Roman"/>
          <w:b/>
          <w:bCs/>
          <w:sz w:val="22"/>
          <w:szCs w:val="22"/>
        </w:rPr>
        <w:t xml:space="preserve">2.3  WORM Constraints and the Rewritability Gap</w:t>
      </w:r>
    </w:p>
    <w:p>
      <w:pPr>
        <w:spacing w:after="120" w:line="276" w:lineRule="auto"/>
        <w:jc w:val="both"/>
      </w:pPr>
      <w:r>
        <w:rPr>
          <w:rFonts w:ascii="Times New Roman" w:cs="Times New Roman" w:eastAsia="Times New Roman" w:hAnsi="Times New Roman"/>
          <w:sz w:val="22"/>
          <w:szCs w:val="22"/>
        </w:rPr>
        <w:t xml:space="preserve">All deployed femtosecond laser glass storage systems share the WORM constraint. The laser-induced nanostructural modifications are thermally stable at room temperature far beyond any archival horizon, which is the property that makes the medium valuable but catastrophic for data management. The only known mechanism for bulk erasure is thermal annealing at approximately 600°C, which necessarily affects the entire glass volume non-selectively. Limited research on specialty glass compositions demonstrates localized rewritability: Hnatovsky et al. reported that volume nanogratings can be rewritten up to 1,000 times with little degradation; work on silver phosphate glass demonstrated erasable and re-writable waveguides without structural damage to the glass network. However, none of these demonstrations address the coordinate-space management problem that arises when selective rewriting is applied to a finite-capacity WORM volume.</w:t>
      </w:r>
    </w:p>
    <w:p>
      <w:pPr>
        <w:spacing w:after="120" w:line="276" w:lineRule="auto"/>
        <w:jc w:val="both"/>
      </w:pPr>
      <w:r>
        <w:rPr>
          <w:rFonts w:ascii="Times New Roman" w:cs="Times New Roman" w:eastAsia="Times New Roman" w:hAnsi="Times New Roman"/>
          <w:sz w:val="22"/>
          <w:szCs w:val="22"/>
        </w:rPr>
        <w:t xml:space="preserve">The present architecture treats the glass matrix as inherently WORM at the physical voxel level, achieving logical rewritability entirely through address virtualization at the OFTL layer, without dependence on thermally reversible glass compositions. This approach is more conservative and broadly applicable to standard fused silica and borosilicate substrates.</w:t>
      </w:r>
    </w:p>
    <w:p>
      <w:pPr>
        <w:spacing w:after="100" w:before="220"/>
      </w:pPr>
      <w:r>
        <w:rPr>
          <w:rFonts w:ascii="Times New Roman" w:cs="Times New Roman" w:eastAsia="Times New Roman" w:hAnsi="Times New Roman"/>
          <w:b/>
          <w:bCs/>
          <w:sz w:val="22"/>
          <w:szCs w:val="22"/>
        </w:rPr>
        <w:t xml:space="preserve">2.4  Z-Axis Focal Depth Degradation</w:t>
      </w:r>
    </w:p>
    <w:p>
      <w:pPr>
        <w:spacing w:after="120" w:line="276" w:lineRule="auto"/>
        <w:jc w:val="both"/>
      </w:pPr>
      <w:r>
        <w:rPr>
          <w:rFonts w:ascii="Times New Roman" w:cs="Times New Roman" w:eastAsia="Times New Roman" w:hAnsi="Times New Roman"/>
          <w:sz w:val="22"/>
          <w:szCs w:val="22"/>
        </w:rPr>
        <w:t xml:space="preserve">Single-axis femtosecond laser writing systems focus a beam along the Z-axis perpendicular to the glass surface. Refractive index mismatch between the immersion medium and glass substrate induces spherical aberration that elongates the focal volume axially and reduces peak intensity at the target depth. Type II nanograting modifications degrade transmittance to approximately 20% at 550 nm by the twentieth layer, worsening linearly in dB as layer count increases. While spatial light modulator aberration correction has partially mitigated these effects in research settings, depth-dependent performance variation remains an unresolved constraint in all deployed systems. The proposed three-axis orthogonal architecture directly eliminates this limitation: no voxel in the interior of the 16 mm cube is more than 8 mm from any of the three illumination faces, and the tomographic multi-axis read path ensures every voxel is near-surface from at least one projection direction.</w:t>
      </w:r>
    </w:p>
    <w:p>
      <w:pPr>
        <w:spacing w:after="100" w:before="220"/>
      </w:pPr>
      <w:r>
        <w:rPr>
          <w:rFonts w:ascii="Times New Roman" w:cs="Times New Roman" w:eastAsia="Times New Roman" w:hAnsi="Times New Roman"/>
          <w:b/>
          <w:bCs/>
          <w:sz w:val="22"/>
          <w:szCs w:val="22"/>
        </w:rPr>
        <w:t xml:space="preserve">2.5  Flash Translation Layers: Engineering Precedent</w:t>
      </w:r>
    </w:p>
    <w:p>
      <w:pPr>
        <w:spacing w:after="120" w:line="276" w:lineRule="auto"/>
        <w:jc w:val="both"/>
      </w:pPr>
      <w:r>
        <w:rPr>
          <w:rFonts w:ascii="Times New Roman" w:cs="Times New Roman" w:eastAsia="Times New Roman" w:hAnsi="Times New Roman"/>
          <w:sz w:val="22"/>
          <w:szCs w:val="22"/>
        </w:rPr>
        <w:t xml:space="preserve">The Flash Translation Layer (FTL) is the core management component of NAND flash-based solid-state drives. It maintains a logical-to-physical address mapping table, executes garbage collection, implements wear-leveling, manages error correction and bad block substitution, and administers an over-provisioned spare area pool invisible to the host. Over-provisioning ratios in commercial SSDs range from 7% (consumer) to 28% or higher (enterprise). The FTL paradigm maps directly onto the address management problem created by out-of-place updates in a finite physical coordinate space — precisely the regime of the proposed glass optical storage system.</w:t>
      </w:r>
    </w:p>
    <w:p>
      <w:pPr>
        <w:pBdr>
          <w:bottom w:val="single" w:color="444444" w:sz="6" w:space="1"/>
        </w:pBdr>
        <w:spacing w:after="160" w:before="160"/>
      </w:pPr>
      <w:r>
        <w:rPr>
          <w:sz w:val="4"/>
          <w:szCs w:val="4"/>
        </w:rPr>
        <w:t xml:space="preserve"/>
      </w:r>
    </w:p>
    <w:p>
      <w:pPr>
        <w:spacing w:after="140" w:before="300"/>
      </w:pPr>
      <w:r>
        <w:rPr>
          <w:rFonts w:ascii="Times New Roman" w:cs="Times New Roman" w:eastAsia="Times New Roman" w:hAnsi="Times New Roman"/>
          <w:b/>
          <w:bCs/>
          <w:sz w:val="24"/>
          <w:szCs w:val="24"/>
        </w:rPr>
        <w:t xml:space="preserve">3. PROPOSED HARDWARE ARCHITECTURE</w:t>
      </w:r>
    </w:p>
    <w:p>
      <w:pPr>
        <w:spacing w:after="100" w:before="220"/>
      </w:pPr>
      <w:r>
        <w:rPr>
          <w:rFonts w:ascii="Times New Roman" w:cs="Times New Roman" w:eastAsia="Times New Roman" w:hAnsi="Times New Roman"/>
          <w:b/>
          <w:bCs/>
          <w:sz w:val="22"/>
          <w:szCs w:val="22"/>
        </w:rPr>
        <w:t xml:space="preserve">3.1  Cubic Glass Medium: Geometry and Capacity</w:t>
      </w:r>
    </w:p>
    <w:p>
      <w:pPr>
        <w:spacing w:after="120" w:line="276" w:lineRule="auto"/>
        <w:jc w:val="both"/>
      </w:pPr>
      <w:r>
        <w:rPr>
          <w:rFonts w:ascii="Times New Roman" w:cs="Times New Roman" w:eastAsia="Times New Roman" w:hAnsi="Times New Roman"/>
          <w:sz w:val="22"/>
          <w:szCs w:val="22"/>
        </w:rPr>
        <w:t xml:space="preserve">The storage medium is a precision-ground optically clear glass cube measuring 16 mm per side, fabricated from high-purity fused silica (n ≈ 1.46 at 1030 nm) or borosilicate glass (n ≈ 1.47). The cubic geometry is the architectural precondition for three-axis orthogonal access. The six faces are categorized as follows:</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Bottom Face (−Z surface): Primary write laser entry for the vertical beam array; the most precisely polished surface for minimal optical path distortion.</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Two Adjacent Lateral Faces (+X and +Y surfaces): Secondary and tertiary write laser entry faces and corresponding image capture surfaces.</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Three Remaining Faces (−X, −Y, +Z): Optical monitoring, scattered light capture, and potential retroreflective confirmation surfaces.</w:t>
      </w:r>
    </w:p>
    <w:p>
      <w:pPr>
        <w:spacing w:after="60"/>
      </w:pPr>
      <w:r>
        <w:t xml:space="preserve"/>
      </w:r>
    </w:p>
    <w:p>
      <w:pPr>
        <w:spacing w:after="120" w:line="276" w:lineRule="auto"/>
        <w:jc w:val="both"/>
      </w:pPr>
      <w:r>
        <w:rPr>
          <w:rFonts w:ascii="Times New Roman" w:cs="Times New Roman" w:eastAsia="Times New Roman" w:hAnsi="Times New Roman"/>
          <w:sz w:val="22"/>
          <w:szCs w:val="22"/>
        </w:rPr>
        <w:t xml:space="preserve">The voxel grid is defined by a 1.5 μm lateral pitch (Pxy) and 5.0 μm axial pitch (Pz), enforced to prevent inter-symbol interference (ISI) and microstructural cross-talk during multi-axis convergent focusing. The voxel count and gross capacity are formally derived in Appendix Section B. The key results are:</w:t>
      </w:r>
    </w:p>
    <w:p>
      <w:pPr>
        <w:spacing w:after="80" w:before="80"/>
        <w:ind w:left="720" w:right="720"/>
        <w:jc w:val="center"/>
      </w:pPr>
      <w:r>
        <w:rPr>
          <w:rFonts w:ascii="Courier New" w:cs="Courier New" w:eastAsia="Courier New" w:hAnsi="Courier New"/>
          <w:sz w:val="22"/>
          <w:szCs w:val="22"/>
        </w:rPr>
        <w:t xml:space="preserve">N_voxels = (16,000 μm / 1.5 μm)² × (16,000 μm / 5.0 μm) ≈ 3.638 × 10¹¹</w:t>
      </w:r>
    </w:p>
    <w:p>
      <w:pPr>
        <w:spacing w:after="80" w:before="80"/>
        <w:ind w:left="720" w:right="720"/>
        <w:jc w:val="center"/>
      </w:pPr>
      <w:r>
        <w:rPr>
          <w:rFonts w:ascii="Courier New" w:cs="Courier New" w:eastAsia="Courier New" w:hAnsi="Courier New"/>
          <w:sz w:val="22"/>
          <w:szCs w:val="22"/>
        </w:rPr>
        <w:t xml:space="preserve">C_gross = N_voxels × 18 bits / (8 × 10⁹ bits/GB) ≈ 819 GB → 814 GB (conservative)</w:t>
      </w:r>
    </w:p>
    <w:p>
      <w:pPr>
        <w:spacing w:after="120" w:line="276" w:lineRule="auto"/>
        <w:jc w:val="both"/>
      </w:pPr>
      <w:r>
        <w:rPr>
          <w:rFonts w:ascii="Times New Roman" w:cs="Times New Roman" w:eastAsia="Times New Roman" w:hAnsi="Times New Roman"/>
          <w:sz w:val="22"/>
          <w:szCs w:val="22"/>
        </w:rPr>
        <w:t xml:space="preserve">The 18 bits per voxel figure is the combined encoding depth of the 14-Ray Voxel Matrix (14 binary directional path bits) and conventional multilevel phase-shift encoding (4 additional bits). This combined encoding is described in detail in Appendix Sections A and B, and the physical justification for their independence is discussed in Section 5.3. The 1.5 μm lateral pitch requires a minimum objective numerical aperture of NA ≥ 0.69 to maintain diffraction-limited lateral resolution within the pitch boundary; at this NA, the axial spot diameter is approximately 4.37 μm, leaving a 0.63 μm clearance margin within the 5.0 μm axial pitch. This is a tight tolerance and represents a key engineering constraint discussed further in Section 5.1.</w:t>
      </w:r>
    </w:p>
    <w:p>
      <w:pPr>
        <w:spacing w:after="100" w:before="220"/>
      </w:pPr>
      <w:r>
        <w:rPr>
          <w:rFonts w:ascii="Times New Roman" w:cs="Times New Roman" w:eastAsia="Times New Roman" w:hAnsi="Times New Roman"/>
          <w:b/>
          <w:bCs/>
          <w:sz w:val="22"/>
          <w:szCs w:val="22"/>
        </w:rPr>
        <w:t xml:space="preserve">3.2  The 14-Ray Voxel Matrix: Encoding Geometry</w:t>
      </w:r>
    </w:p>
    <w:p>
      <w:pPr>
        <w:spacing w:after="120" w:line="276" w:lineRule="auto"/>
        <w:jc w:val="both"/>
      </w:pPr>
      <w:r>
        <w:rPr>
          <w:rFonts w:ascii="Times New Roman" w:cs="Times New Roman" w:eastAsia="Times New Roman" w:hAnsi="Times New Roman"/>
          <w:sz w:val="22"/>
          <w:szCs w:val="22"/>
        </w:rPr>
        <w:t xml:space="preserve">Each voxel position in the glass matrix acts as a point-centered geometric coordinate system bounded by an isometric unit cube where x, y, z ∈ {−1, 0, 1}. A write operation generates a discrete vector ray initiating at the origin (0,0,0) and terminating at a specific surface or vertex anchor point. The 14 ray paths are classified into two geometric subsets (full formal specification in Appendix Section A):</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Cardinal Axial Vectors (6 paths, R₁–R₆): Projecting perpendicular to each primary face along ±X, ±Y, ±Z. These correspond to conventionally understood polarization-aligned nanograting modifications. Each cardinal modification preferentially alters the refractive index or introduces birefringence aligned with its respective axis, detectable from the perpendicular camera array.</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Isometric Diagonal Vectors (8 paths, R₇–R₁₄): Projecting at precisely 45° to all three principal planes, terminating at the 8 vertices of the bounding cube, corresponding to [±1, ±1, ±1] directions. These diagonal modifications require simultaneous convergent illumination from two or more orthogonal laser axes (e.g., [1,1,1] requires combined contribution from the +X, +Y, and +Z laser arrays) and produce modifications with mixed-axis anisotropy detectable only through cross-correlation of all three camera projections.</w:t>
      </w:r>
    </w:p>
    <w:p>
      <w:pPr>
        <w:spacing w:after="60"/>
      </w:pPr>
      <w:r>
        <w:t xml:space="preserve"/>
      </w:r>
    </w:p>
    <w:p>
      <w:pPr>
        <w:spacing w:after="120" w:line="276" w:lineRule="auto"/>
        <w:jc w:val="both"/>
      </w:pPr>
      <w:r>
        <w:rPr>
          <w:rFonts w:ascii="Times New Roman" w:cs="Times New Roman" w:eastAsia="Times New Roman" w:hAnsi="Times New Roman"/>
          <w:sz w:val="22"/>
          <w:szCs w:val="22"/>
        </w:rPr>
        <w:t xml:space="preserve">The physical state S of a single voxel is defined as the vector summation of its active binary coefficients across all 14 paths (see Appendix Eq. 1). This architecture produces 2¹⁴ = 16,384 discrete physical state permutations per site, encoding 14 bits from directional path information alone. The additional 4-bit phase-shift encoding — controlling the depth of the refractive index modification at the site independent of its directional structure — brings the total to 18 effective bits per voxel. Current laboratory demonstrations have achieved a maximum of 7 bits per voxel; the step to 14 + 4 = 18 bits represents a 2.57× increase in information density per site and requires experimental validation of multi-ray superposition stability (Section 5.3).</w:t>
      </w:r>
    </w:p>
    <w:p>
      <w:pPr>
        <w:spacing w:after="100" w:before="220"/>
      </w:pPr>
      <w:r>
        <w:rPr>
          <w:rFonts w:ascii="Times New Roman" w:cs="Times New Roman" w:eastAsia="Times New Roman" w:hAnsi="Times New Roman"/>
          <w:b/>
          <w:bCs/>
          <w:sz w:val="22"/>
          <w:szCs w:val="22"/>
        </w:rPr>
        <w:t xml:space="preserve">3.3  Three-Axis Orthogonal Laser Write Array and Convergent Firing</w:t>
      </w:r>
    </w:p>
    <w:p>
      <w:pPr>
        <w:spacing w:after="120" w:line="276" w:lineRule="auto"/>
        <w:jc w:val="both"/>
      </w:pPr>
      <w:r>
        <w:rPr>
          <w:rFonts w:ascii="Times New Roman" w:cs="Times New Roman" w:eastAsia="Times New Roman" w:hAnsi="Times New Roman"/>
          <w:sz w:val="22"/>
          <w:szCs w:val="22"/>
        </w:rPr>
        <w:t xml:space="preserve">The write system consists of three independent femtosecond laser subsystems (100–280 fs pulse duration, 1–10 MHz repetition rate), each paired with a beam-shaping optical train and spatial light modulator for aberration correction, aligned orthogonally to the Bottom, Side 1 (X-axis), and Side 2 (Y-axis) entry faces. The critical operational distinction from all prior art is the Split-Beam Multi-Photon Firing Protocol (formally described in Appendix Section D):</w:t>
      </w:r>
    </w:p>
    <w:p>
      <w:pPr>
        <w:pStyle w:val="ListParagraph"/>
        <w:numPr>
          <w:ilvl w:val="0"/>
          <w:numId w:val="3"/>
        </w:numPr>
        <w:spacing w:after="80"/>
        <w:ind w:left="720" w:hanging="360"/>
      </w:pPr>
      <w:r>
        <w:rPr>
          <w:rFonts w:ascii="Times New Roman" w:cs="Times New Roman" w:eastAsia="Times New Roman" w:hAnsi="Times New Roman"/>
          <w:sz w:val="22"/>
          <w:szCs w:val="22"/>
        </w:rPr>
        <w:t xml:space="preserve">Each laser subsystem is attenuated below the single-beam glass modification threshold (J &lt; J_threshold), typically to 30–50% of the modification threshold fluence. Unilateral illumination produces no structural change anywhere in the glass.</w:t>
      </w:r>
    </w:p>
    <w:p>
      <w:pPr>
        <w:pStyle w:val="ListParagraph"/>
        <w:numPr>
          <w:ilvl w:val="0"/>
          <w:numId w:val="3"/>
        </w:numPr>
        <w:spacing w:after="80"/>
        <w:ind w:left="720" w:hanging="360"/>
      </w:pPr>
      <w:r>
        <w:rPr>
          <w:rFonts w:ascii="Times New Roman" w:cs="Times New Roman" w:eastAsia="Times New Roman" w:hAnsi="Times New Roman"/>
          <w:sz w:val="22"/>
          <w:szCs w:val="22"/>
        </w:rPr>
        <w:t xml:space="preserve">Modification occurs exclusively at the spatial convergence zone of two or three simultaneous sub-threshold beams. The nonlinear intensity superposition at the convergence point crosses the multiphoton absorption threshold required to initiate plasma-mediated nanostructure formation.</w:t>
      </w:r>
    </w:p>
    <w:p>
      <w:pPr>
        <w:pStyle w:val="ListParagraph"/>
        <w:numPr>
          <w:ilvl w:val="0"/>
          <w:numId w:val="3"/>
        </w:numPr>
        <w:spacing w:after="80"/>
        <w:ind w:left="720" w:hanging="360"/>
      </w:pPr>
      <w:r>
        <w:rPr>
          <w:rFonts w:ascii="Times New Roman" w:cs="Times New Roman" w:eastAsia="Times New Roman" w:hAnsi="Times New Roman"/>
          <w:sz w:val="22"/>
          <w:szCs w:val="22"/>
        </w:rPr>
        <w:t xml:space="preserve">The multiphoton nonlinearity order N ≈ 6–8 for 1030 nm radiation in fused silica produces a discrimination ratio between the convergence zone and any single-beam path of approximately (1.3/0.7)^N ≈ 10² to 10³, providing near-complete spatial selectivity and eliminating Z-axis shadowing.</w:t>
      </w:r>
    </w:p>
    <w:p>
      <w:pPr>
        <w:pStyle w:val="ListParagraph"/>
        <w:numPr>
          <w:ilvl w:val="0"/>
          <w:numId w:val="3"/>
        </w:numPr>
        <w:spacing w:after="80"/>
        <w:ind w:left="720" w:hanging="360"/>
      </w:pPr>
      <w:r>
        <w:rPr>
          <w:rFonts w:ascii="Times New Roman" w:cs="Times New Roman" w:eastAsia="Times New Roman" w:hAnsi="Times New Roman"/>
          <w:sz w:val="22"/>
          <w:szCs w:val="22"/>
        </w:rPr>
        <w:t xml:space="preserve">For cardinal ray modifications (R₁–R₆), two opposing sub-threshold beams converge from the corresponding ±axis pair. For diagonal ray modifications (R₇–R₁₄), two or three sub-threshold beams from different axis arrays converge at the computed angle to produce a diagonal focal intensity maximum. Polarization control for each beam independently sets the slow-axis orientation of the resulting nanograting modification.</w:t>
      </w:r>
    </w:p>
    <w:p>
      <w:pPr>
        <w:spacing w:after="60"/>
      </w:pPr>
      <w:r>
        <w:t xml:space="preserve"/>
      </w:r>
    </w:p>
    <w:p>
      <w:pPr>
        <w:spacing w:after="120" w:line="276" w:lineRule="auto"/>
        <w:jc w:val="both"/>
      </w:pPr>
      <w:r>
        <w:rPr>
          <w:rFonts w:ascii="Times New Roman" w:cs="Times New Roman" w:eastAsia="Times New Roman" w:hAnsi="Times New Roman"/>
          <w:sz w:val="22"/>
          <w:szCs w:val="22"/>
        </w:rPr>
        <w:t xml:space="preserve">SLM phase masks are precomputed for the full coordinate grid and stored in the drive controller embedded memory. Because each individual beam travels a maximum of 16 mm (the cube dimension) and is underfocused relative to the convergence point, the effective NA and aberration severity of each beam is lower than a single-axis system targeting the same voxel from one side. This reduces SLM correction demands while maintaining the full 18-bit encoding capability.</w:t>
      </w:r>
    </w:p>
    <w:p>
      <w:pPr>
        <w:spacing w:after="100" w:before="220"/>
      </w:pPr>
      <w:r>
        <w:rPr>
          <w:rFonts w:ascii="Times New Roman" w:cs="Times New Roman" w:eastAsia="Times New Roman" w:hAnsi="Times New Roman"/>
          <w:b/>
          <w:bCs/>
          <w:sz w:val="22"/>
          <w:szCs w:val="22"/>
        </w:rPr>
        <w:t xml:space="preserve">3.4  Orthogonal Camera Array and Tomographic Read Reconstruction</w:t>
      </w:r>
    </w:p>
    <w:p>
      <w:pPr>
        <w:spacing w:after="120" w:line="276" w:lineRule="auto"/>
        <w:jc w:val="both"/>
      </w:pPr>
      <w:r>
        <w:rPr>
          <w:rFonts w:ascii="Times New Roman" w:cs="Times New Roman" w:eastAsia="Times New Roman" w:hAnsi="Times New Roman"/>
          <w:sz w:val="22"/>
          <w:szCs w:val="22"/>
        </w:rPr>
        <w:t xml:space="preserve">The read system employs three high-sensitivity CMOS camera arrays positioned co-planar with the three laser axis entry faces, using polarization-resolved optics for birefringent voxels or Zernike phase contrast optics for phase voxels. Illumination for reading is provided by sub-threshold broadband or narrowband LED/laser sources entering from the opposing face in each axis.</w:t>
      </w:r>
    </w:p>
    <w:p>
      <w:pPr>
        <w:spacing w:after="120" w:line="276" w:lineRule="auto"/>
        <w:jc w:val="both"/>
      </w:pPr>
      <w:r>
        <w:rPr>
          <w:rFonts w:ascii="Times New Roman" w:cs="Times New Roman" w:eastAsia="Times New Roman" w:hAnsi="Times New Roman"/>
          <w:sz w:val="22"/>
          <w:szCs w:val="22"/>
        </w:rPr>
        <w:t xml:space="preserve">Rather than sequential layer-by-layer scanning, the three-camera configuration simultaneously acquires projection data from all three orthogonal planes. The reconstruction pipeline processes these as follows:</w:t>
      </w:r>
    </w:p>
    <w:p>
      <w:pPr>
        <w:pStyle w:val="ListParagraph"/>
        <w:numPr>
          <w:ilvl w:val="0"/>
          <w:numId w:val="3"/>
        </w:numPr>
        <w:spacing w:after="80"/>
        <w:ind w:left="720" w:hanging="360"/>
      </w:pPr>
      <w:r>
        <w:rPr>
          <w:rFonts w:ascii="Times New Roman" w:cs="Times New Roman" w:eastAsia="Times New Roman" w:hAnsi="Times New Roman"/>
          <w:sz w:val="22"/>
          <w:szCs w:val="22"/>
        </w:rPr>
        <w:t xml:space="preserve">Each camera captures a wide-field 2D projection representing the integrated polarization modulation or phase shift of all voxels along its line of sight.</w:t>
      </w:r>
    </w:p>
    <w:p>
      <w:pPr>
        <w:pStyle w:val="ListParagraph"/>
        <w:numPr>
          <w:ilvl w:val="0"/>
          <w:numId w:val="3"/>
        </w:numPr>
        <w:spacing w:after="80"/>
        <w:ind w:left="720" w:hanging="360"/>
      </w:pPr>
      <w:r>
        <w:rPr>
          <w:rFonts w:ascii="Times New Roman" w:cs="Times New Roman" w:eastAsia="Times New Roman" w:hAnsi="Times New Roman"/>
          <w:sz w:val="22"/>
          <w:szCs w:val="22"/>
        </w:rPr>
        <w:t xml:space="preserve">For 14-ray encoded voxels, the three projections are cross-correlated: cardinal modifications (R₁–R₆) appear as strong signals in their respective axis cameras, while diagonal modifications (R₇–R₁₄) produce characteristic split-projection signatures visible in two or three camera channels simultaneously. This cross-channel signature is the primary mechanism by which diagonal ray states are distinguished from superpositions of cardinal states.</w:t>
      </w:r>
    </w:p>
    <w:p>
      <w:pPr>
        <w:pStyle w:val="ListParagraph"/>
        <w:numPr>
          <w:ilvl w:val="0"/>
          <w:numId w:val="3"/>
        </w:numPr>
        <w:spacing w:after="80"/>
        <w:ind w:left="720" w:hanging="360"/>
      </w:pPr>
      <w:r>
        <w:rPr>
          <w:rFonts w:ascii="Times New Roman" w:cs="Times New Roman" w:eastAsia="Times New Roman" w:hAnsi="Times New Roman"/>
          <w:sz w:val="22"/>
          <w:szCs w:val="22"/>
        </w:rPr>
        <w:t xml:space="preserve">A convolutional neural network decoder — trained on synthetic 14-ray voxel patterns and their expected three-projection signatures — reconstructs the full 14-bit path state and 4-bit phase value at each coordinate position.</w:t>
      </w:r>
    </w:p>
    <w:p>
      <w:pPr>
        <w:pStyle w:val="ListParagraph"/>
        <w:numPr>
          <w:ilvl w:val="0"/>
          <w:numId w:val="3"/>
        </w:numPr>
        <w:spacing w:after="80"/>
        <w:ind w:left="720" w:hanging="360"/>
      </w:pPr>
      <w:r>
        <w:rPr>
          <w:rFonts w:ascii="Times New Roman" w:cs="Times New Roman" w:eastAsia="Times New Roman" w:hAnsi="Times New Roman"/>
          <w:sz w:val="22"/>
          <w:szCs w:val="22"/>
        </w:rPr>
        <w:t xml:space="preserve">LDPC error correction at the block level recovers the data payload, and the OFTL address map translates physical coordinates to logical block addresses.</w:t>
      </w:r>
    </w:p>
    <w:p>
      <w:pPr>
        <w:spacing w:after="60"/>
      </w:pPr>
      <w:r>
        <w:t xml:space="preserve"/>
      </w:r>
    </w:p>
    <w:p>
      <w:pPr>
        <w:spacing w:after="120" w:line="276" w:lineRule="auto"/>
        <w:jc w:val="both"/>
      </w:pPr>
      <w:r>
        <w:rPr>
          <w:rFonts w:ascii="Times New Roman" w:cs="Times New Roman" w:eastAsia="Times New Roman" w:hAnsi="Times New Roman"/>
          <w:sz w:val="22"/>
          <w:szCs w:val="22"/>
        </w:rPr>
        <w:t xml:space="preserve">The multi-axis reconstruction eliminates depth-dependent signal degradation: every interior voxel is near-surface from at least one projection direction. The tomographic combination of three views with different lines of sight also resolves interlayer crosstalk ambiguities that corrupt single-projection images in deep multilayer stacks.</w:t>
      </w:r>
    </w:p>
    <w:p>
      <w:pPr>
        <w:pBdr>
          <w:bottom w:val="single" w:color="444444" w:sz="6" w:space="1"/>
        </w:pBdr>
        <w:spacing w:after="160" w:before="160"/>
      </w:pPr>
      <w:r>
        <w:rPr>
          <w:sz w:val="4"/>
          <w:szCs w:val="4"/>
        </w:rPr>
        <w:t xml:space="preserve"/>
      </w:r>
    </w:p>
    <w:p>
      <w:pPr>
        <w:spacing w:after="140" w:before="300"/>
      </w:pPr>
      <w:r>
        <w:rPr>
          <w:rFonts w:ascii="Times New Roman" w:cs="Times New Roman" w:eastAsia="Times New Roman" w:hAnsi="Times New Roman"/>
          <w:b/>
          <w:bCs/>
          <w:sz w:val="24"/>
          <w:szCs w:val="24"/>
        </w:rPr>
        <w:t xml:space="preserve">4. OPTICAL FLASH TRANSLATION LAYER (OFTL) DESIGN</w:t>
      </w:r>
    </w:p>
    <w:p>
      <w:pPr>
        <w:spacing w:after="100" w:before="220"/>
      </w:pPr>
      <w:r>
        <w:rPr>
          <w:rFonts w:ascii="Times New Roman" w:cs="Times New Roman" w:eastAsia="Times New Roman" w:hAnsi="Times New Roman"/>
          <w:b/>
          <w:bCs/>
          <w:sz w:val="22"/>
          <w:szCs w:val="22"/>
        </w:rPr>
        <w:t xml:space="preserve">4.1  Motivation and Architectural Mapping</w:t>
      </w:r>
    </w:p>
    <w:p>
      <w:pPr>
        <w:spacing w:after="120" w:line="276" w:lineRule="auto"/>
        <w:jc w:val="both"/>
      </w:pPr>
      <w:r>
        <w:rPr>
          <w:rFonts w:ascii="Times New Roman" w:cs="Times New Roman" w:eastAsia="Times New Roman" w:hAnsi="Times New Roman"/>
          <w:sz w:val="22"/>
          <w:szCs w:val="22"/>
        </w:rPr>
        <w:t xml:space="preserve">The OFTL applies solid-state drive address virtualization principles to the write-once physical glass medium, enabling effective logical rewritability without physical erasure. It maintains the following data structures, stored redundantly in a reserved glass Metadata Zone and mirrored in controller non-volatile memory:</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Logical-to-Physical Address Map (LPAM): Translates each logical block address (LBA) in the 500 GB user partition to a unique physical voxel coordinate range. Each entry includes a validity flag, generation counter, and checksum.</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Spare Area Allocation Bitmap (SAAB): Tracks allocation state (free, active, or tombstoned) of all coordinate blocks in the 314 GB spare pool, updated atomically with each write operation.</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Tombstone Registry: An ordered list of deprecated physical coordinate blocks — locations that previously held valid data superseded by an update — maintained for endurance tracking and archive provenance recording.</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Endurance Counter: A monotonically increasing counter recording total physical write operations executed, used to compute remaining spare area and project time to lockout under current workload patterns.</w:t>
      </w:r>
    </w:p>
    <w:p>
      <w:pPr>
        <w:spacing w:after="60"/>
      </w:pPr>
      <w:r>
        <w:t xml:space="preserve"/>
      </w:r>
    </w:p>
    <w:p>
      <w:pPr>
        <w:spacing w:after="100" w:before="220"/>
      </w:pPr>
      <w:r>
        <w:rPr>
          <w:rFonts w:ascii="Times New Roman" w:cs="Times New Roman" w:eastAsia="Times New Roman" w:hAnsi="Times New Roman"/>
          <w:b/>
          <w:bCs/>
          <w:sz w:val="22"/>
          <w:szCs w:val="22"/>
        </w:rPr>
        <w:t xml:space="preserve">4.2  Write Operation Semantics</w:t>
      </w:r>
    </w:p>
    <w:p>
      <w:pPr>
        <w:spacing w:after="120" w:line="276" w:lineRule="auto"/>
        <w:jc w:val="both"/>
      </w:pPr>
      <w:r>
        <w:rPr>
          <w:rFonts w:ascii="Times New Roman" w:cs="Times New Roman" w:eastAsia="Times New Roman" w:hAnsi="Times New Roman"/>
          <w:sz w:val="22"/>
          <w:szCs w:val="22"/>
        </w:rPr>
        <w:t xml:space="preserve">When the host issues a write to a logical block address, the OFTL executes the following out-of-place update procedure:</w:t>
      </w:r>
    </w:p>
    <w:p>
      <w:pPr>
        <w:pStyle w:val="ListParagraph"/>
        <w:numPr>
          <w:ilvl w:val="0"/>
          <w:numId w:val="3"/>
        </w:numPr>
        <w:spacing w:after="80"/>
        <w:ind w:left="720" w:hanging="360"/>
      </w:pPr>
      <w:r>
        <w:rPr>
          <w:rFonts w:ascii="Times New Roman" w:cs="Times New Roman" w:eastAsia="Times New Roman" w:hAnsi="Times New Roman"/>
          <w:sz w:val="22"/>
          <w:szCs w:val="22"/>
        </w:rPr>
        <w:t xml:space="preserve">Consult the LPAM to determine whether the target LBA has an existing valid physical mapping.</w:t>
      </w:r>
    </w:p>
    <w:p>
      <w:pPr>
        <w:pStyle w:val="ListParagraph"/>
        <w:numPr>
          <w:ilvl w:val="0"/>
          <w:numId w:val="3"/>
        </w:numPr>
        <w:spacing w:after="80"/>
        <w:ind w:left="720" w:hanging="360"/>
      </w:pPr>
      <w:r>
        <w:rPr>
          <w:rFonts w:ascii="Times New Roman" w:cs="Times New Roman" w:eastAsia="Times New Roman" w:hAnsi="Times New Roman"/>
          <w:sz w:val="22"/>
          <w:szCs w:val="22"/>
        </w:rPr>
        <w:t xml:space="preserve">If no prior mapping exists, select a free coordinate block from the active user partition space using the wear-leveling spatial dispersion heuristic.</w:t>
      </w:r>
    </w:p>
    <w:p>
      <w:pPr>
        <w:pStyle w:val="ListParagraph"/>
        <w:numPr>
          <w:ilvl w:val="0"/>
          <w:numId w:val="3"/>
        </w:numPr>
        <w:spacing w:after="80"/>
        <w:ind w:left="720" w:hanging="360"/>
      </w:pPr>
      <w:r>
        <w:rPr>
          <w:rFonts w:ascii="Times New Roman" w:cs="Times New Roman" w:eastAsia="Times New Roman" w:hAnsi="Times New Roman"/>
          <w:sz w:val="22"/>
          <w:szCs w:val="22"/>
        </w:rPr>
        <w:t xml:space="preserve">If a prior mapping exists, select a free coordinate block from the 314 GB spare area pool. Encode and write the new data to the new coordinates using the three-axis convergent laser array. Atomically mark the previous coordinates as tombstoned in the SAAB.</w:t>
      </w:r>
    </w:p>
    <w:p>
      <w:pPr>
        <w:pStyle w:val="ListParagraph"/>
        <w:numPr>
          <w:ilvl w:val="0"/>
          <w:numId w:val="3"/>
        </w:numPr>
        <w:spacing w:after="80"/>
        <w:ind w:left="720" w:hanging="360"/>
      </w:pPr>
      <w:r>
        <w:rPr>
          <w:rFonts w:ascii="Times New Roman" w:cs="Times New Roman" w:eastAsia="Times New Roman" w:hAnsi="Times New Roman"/>
          <w:sz w:val="22"/>
          <w:szCs w:val="22"/>
        </w:rPr>
        <w:t xml:space="preserve">Execute a read-verify pass using the orthogonal camera array to confirm successful voxel formation before committing the LPAM entry update.</w:t>
      </w:r>
    </w:p>
    <w:p>
      <w:pPr>
        <w:pStyle w:val="ListParagraph"/>
        <w:numPr>
          <w:ilvl w:val="0"/>
          <w:numId w:val="3"/>
        </w:numPr>
        <w:spacing w:after="80"/>
        <w:ind w:left="720" w:hanging="360"/>
      </w:pPr>
      <w:r>
        <w:rPr>
          <w:rFonts w:ascii="Times New Roman" w:cs="Times New Roman" w:eastAsia="Times New Roman" w:hAnsi="Times New Roman"/>
          <w:sz w:val="22"/>
          <w:szCs w:val="22"/>
        </w:rPr>
        <w:t xml:space="preserve">Flush LPAM and SAAB updates to both the glass Metadata Zone and controller non-volatile memory. Increment the Endurance Counter.</w:t>
      </w:r>
    </w:p>
    <w:p>
      <w:pPr>
        <w:spacing w:after="60"/>
      </w:pPr>
      <w:r>
        <w:t xml:space="preserve"/>
      </w:r>
    </w:p>
    <w:p>
      <w:pPr>
        <w:spacing w:after="120" w:line="276" w:lineRule="auto"/>
        <w:jc w:val="both"/>
      </w:pPr>
      <w:r>
        <w:rPr>
          <w:rFonts w:ascii="Times New Roman" w:cs="Times New Roman" w:eastAsia="Times New Roman" w:hAnsi="Times New Roman"/>
          <w:sz w:val="22"/>
          <w:szCs w:val="22"/>
        </w:rPr>
        <w:t xml:space="preserve">No two write operations ever target the same physical coordinate. No coordinate is reused once written. This strictly out-of-place policy is the cornerstone of the OFTL's effective rewritability.</w:t>
      </w:r>
    </w:p>
    <w:p>
      <w:pPr>
        <w:spacing w:after="100" w:before="220"/>
      </w:pPr>
      <w:r>
        <w:rPr>
          <w:rFonts w:ascii="Times New Roman" w:cs="Times New Roman" w:eastAsia="Times New Roman" w:hAnsi="Times New Roman"/>
          <w:b/>
          <w:bCs/>
          <w:sz w:val="22"/>
          <w:szCs w:val="22"/>
        </w:rPr>
        <w:t xml:space="preserve">4.3  Wear-Leveling and Spatial Dispersion</w:t>
      </w:r>
    </w:p>
    <w:p>
      <w:pPr>
        <w:spacing w:after="120" w:line="276" w:lineRule="auto"/>
        <w:jc w:val="both"/>
      </w:pPr>
      <w:r>
        <w:rPr>
          <w:rFonts w:ascii="Times New Roman" w:cs="Times New Roman" w:eastAsia="Times New Roman" w:hAnsi="Times New Roman"/>
          <w:sz w:val="22"/>
          <w:szCs w:val="22"/>
        </w:rPr>
        <w:t xml:space="preserve">Although the glass medium does not wear electrochemically, spatial distribution of write operations is critical for two reasons: (1) concentrated writes in a small physical region may produce cumulative thermal or mechanical stress gradients from rapid sequential high-repetition-rate pulses; (2) maintaining spatially distributed writes prevents premature localized spare area depletion before statistical end-of-life. The OFTL implements a two-tier wear-leveling scheme: macro-level round-robin cycling across 64 spatial zones (approximately 4.9 GB each) distributed across all three cube dimensions; and micro-level pseudo-random coordinate selection within each zone seeded by zone address and local write counter.</w:t>
      </w:r>
    </w:p>
    <w:p>
      <w:pPr>
        <w:spacing w:after="100" w:before="220"/>
      </w:pPr>
      <w:r>
        <w:rPr>
          <w:rFonts w:ascii="Times New Roman" w:cs="Times New Roman" w:eastAsia="Times New Roman" w:hAnsi="Times New Roman"/>
          <w:b/>
          <w:bCs/>
          <w:sz w:val="22"/>
          <w:szCs w:val="22"/>
        </w:rPr>
        <w:t xml:space="preserve">4.4  OFTL Metadata Persistence in Glass</w:t>
      </w:r>
    </w:p>
    <w:p>
      <w:pPr>
        <w:spacing w:after="120" w:line="276" w:lineRule="auto"/>
        <w:jc w:val="both"/>
      </w:pPr>
      <w:r>
        <w:rPr>
          <w:rFonts w:ascii="Times New Roman" w:cs="Times New Roman" w:eastAsia="Times New Roman" w:hAnsi="Times New Roman"/>
          <w:sz w:val="22"/>
          <w:szCs w:val="22"/>
        </w:rPr>
        <w:t xml:space="preserve">LPAM snapshots are written to a reserved glass Metadata Zone in log-structured append-only format, with successive snapshots identified by generation counter. A secondary copy is maintained in MRAM on the drive controller board. On power-up, the controller cross-validates both copies and selects the newer consistent snapshot. At 1 MB logical block granularity, the LPAM contains 512,000 entries of approximately 80–100 bits each, totaling ~1.6 GB — negligible relative to total capacity and loadable into controller DRAM in under 1 second at DDR5 speeds.</w:t>
      </w:r>
    </w:p>
    <w:p>
      <w:pPr>
        <w:spacing w:after="100" w:before="220"/>
      </w:pPr>
      <w:r>
        <w:rPr>
          <w:rFonts w:ascii="Times New Roman" w:cs="Times New Roman" w:eastAsia="Times New Roman" w:hAnsi="Times New Roman"/>
          <w:b/>
          <w:bCs/>
          <w:sz w:val="22"/>
          <w:szCs w:val="22"/>
        </w:rPr>
        <w:t xml:space="preserve">4.5  Spare Area Endurance Model</w:t>
      </w:r>
    </w:p>
    <w:p>
      <w:pPr>
        <w:spacing w:after="120" w:line="276" w:lineRule="auto"/>
        <w:jc w:val="both"/>
      </w:pPr>
      <w:r>
        <w:rPr>
          <w:rFonts w:ascii="Times New Roman" w:cs="Times New Roman" w:eastAsia="Times New Roman" w:hAnsi="Times New Roman"/>
          <w:sz w:val="22"/>
          <w:szCs w:val="22"/>
        </w:rPr>
        <w:t xml:space="preserve">The 314 GB spare area represents 62.8% over-provisioning relative to the 500 GB user partition. The lifecycle endurance follows the closed-form expression derived in Appendix Section C:</w:t>
      </w:r>
    </w:p>
    <w:p>
      <w:pPr>
        <w:spacing w:after="80" w:before="80"/>
        <w:ind w:left="720" w:right="720"/>
        <w:jc w:val="center"/>
      </w:pPr>
      <w:r>
        <w:rPr>
          <w:rFonts w:ascii="Courier New" w:cs="Courier New" w:eastAsia="Courier New" w:hAnsi="Courier New"/>
          <w:sz w:val="22"/>
          <w:szCs w:val="22"/>
        </w:rPr>
        <w:t xml:space="preserve">E_lifecycle = 314 GB / B_size</w:t>
      </w:r>
    </w:p>
    <w:p>
      <w:pPr>
        <w:spacing w:after="120" w:line="276" w:lineRule="auto"/>
        <w:jc w:val="both"/>
      </w:pPr>
      <w:r>
        <w:rPr>
          <w:rFonts w:ascii="Times New Roman" w:cs="Times New Roman" w:eastAsia="Times New Roman" w:hAnsi="Times New Roman"/>
          <w:sz w:val="22"/>
          <w:szCs w:val="22"/>
        </w:rPr>
        <w:t xml:space="preserve">where B_size is the average transaction block size. Selected reference points:</w:t>
      </w:r>
    </w:p>
    <w:p>
      <w:pPr>
        <w:spacing w:after="4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800"/>
        <w:gridCol w:w="1700"/>
        <w:gridCol w:w="1700"/>
        <w:gridCol w:w="2800"/>
      </w:tblGrid>
      <w:tr>
        <w:trPr>
          <w:tblHeader/>
        </w:trPr>
        <w:tc>
          <w:tcPr>
            <w:tcW w:type="dxa" w:w="2800"/>
            <w:tcBorders>
              <w:top w:val="single" w:color="888888" w:sz="4"/>
              <w:left w:val="single" w:color="888888" w:sz="4"/>
              <w:bottom w:val="single" w:color="888888" w:sz="4"/>
              <w:right w:val="single" w:color="888888" w:sz="4"/>
            </w:tcBorders>
            <w:shd w:fill="C8D8EC" w:val="clear"/>
            <w:tcMar>
              <w:top w:type="dxa" w:w="80"/>
              <w:left w:type="dxa" w:w="80"/>
              <w:bottom w:type="dxa" w:w="80"/>
              <w:right w:type="dxa" w:w="80"/>
            </w:tcMar>
          </w:tcPr>
          <w:p>
            <w:pPr>
              <w:jc w:val="center"/>
            </w:pPr>
            <w:r>
              <w:rPr>
                <w:rFonts w:ascii="Times New Roman" w:cs="Times New Roman" w:eastAsia="Times New Roman" w:hAnsi="Times New Roman"/>
                <w:b/>
                <w:bCs/>
                <w:sz w:val="20"/>
                <w:szCs w:val="20"/>
              </w:rPr>
              <w:t xml:space="preserve">Block Granularity</w:t>
            </w:r>
          </w:p>
        </w:tc>
        <w:tc>
          <w:tcPr>
            <w:tcW w:type="dxa" w:w="1700"/>
            <w:tcBorders>
              <w:top w:val="single" w:color="888888" w:sz="4"/>
              <w:left w:val="single" w:color="888888" w:sz="4"/>
              <w:bottom w:val="single" w:color="888888" w:sz="4"/>
              <w:right w:val="single" w:color="888888" w:sz="4"/>
            </w:tcBorders>
            <w:shd w:fill="C8D8EC" w:val="clear"/>
            <w:tcMar>
              <w:top w:type="dxa" w:w="80"/>
              <w:left w:type="dxa" w:w="80"/>
              <w:bottom w:type="dxa" w:w="80"/>
              <w:right w:type="dxa" w:w="80"/>
            </w:tcMar>
          </w:tcPr>
          <w:p>
            <w:pPr>
              <w:jc w:val="center"/>
            </w:pPr>
            <w:r>
              <w:rPr>
                <w:rFonts w:ascii="Times New Roman" w:cs="Times New Roman" w:eastAsia="Times New Roman" w:hAnsi="Times New Roman"/>
                <w:b/>
                <w:bCs/>
                <w:sz w:val="20"/>
                <w:szCs w:val="20"/>
              </w:rPr>
              <w:t xml:space="preserve">Total Ops Before Lockout</w:t>
            </w:r>
          </w:p>
        </w:tc>
        <w:tc>
          <w:tcPr>
            <w:tcW w:type="dxa" w:w="1700"/>
            <w:tcBorders>
              <w:top w:val="single" w:color="888888" w:sz="4"/>
              <w:left w:val="single" w:color="888888" w:sz="4"/>
              <w:bottom w:val="single" w:color="888888" w:sz="4"/>
              <w:right w:val="single" w:color="888888" w:sz="4"/>
            </w:tcBorders>
            <w:shd w:fill="C8D8EC" w:val="clear"/>
            <w:tcMar>
              <w:top w:type="dxa" w:w="80"/>
              <w:left w:type="dxa" w:w="80"/>
              <w:bottom w:type="dxa" w:w="80"/>
              <w:right w:type="dxa" w:w="80"/>
            </w:tcMar>
          </w:tcPr>
          <w:p>
            <w:pPr>
              <w:jc w:val="center"/>
            </w:pPr>
            <w:r>
              <w:rPr>
                <w:rFonts w:ascii="Times New Roman" w:cs="Times New Roman" w:eastAsia="Times New Roman" w:hAnsi="Times New Roman"/>
                <w:b/>
                <w:bCs/>
                <w:sz w:val="20"/>
                <w:szCs w:val="20"/>
              </w:rPr>
              <w:t xml:space="preserve">Spare Consumed / Op</w:t>
            </w:r>
          </w:p>
        </w:tc>
        <w:tc>
          <w:tcPr>
            <w:tcW w:type="dxa" w:w="2800"/>
            <w:tcBorders>
              <w:top w:val="single" w:color="888888" w:sz="4"/>
              <w:left w:val="single" w:color="888888" w:sz="4"/>
              <w:bottom w:val="single" w:color="888888" w:sz="4"/>
              <w:right w:val="single" w:color="888888" w:sz="4"/>
            </w:tcBorders>
            <w:shd w:fill="C8D8EC" w:val="clear"/>
            <w:tcMar>
              <w:top w:type="dxa" w:w="80"/>
              <w:left w:type="dxa" w:w="80"/>
              <w:bottom w:type="dxa" w:w="80"/>
              <w:right w:type="dxa" w:w="80"/>
            </w:tcMar>
          </w:tcPr>
          <w:p>
            <w:pPr>
              <w:jc w:val="center"/>
            </w:pPr>
            <w:r>
              <w:rPr>
                <w:rFonts w:ascii="Times New Roman" w:cs="Times New Roman" w:eastAsia="Times New Roman" w:hAnsi="Times New Roman"/>
                <w:b/>
                <w:bCs/>
                <w:sz w:val="20"/>
                <w:szCs w:val="20"/>
              </w:rPr>
              <w:t xml:space="preserve">Representative Use Case</w:t>
            </w:r>
          </w:p>
        </w:tc>
      </w:tr>
      <w:tr>
        <w:tc>
          <w:tcPr>
            <w:tcW w:type="dxa" w:w="28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4 KB</w:t>
            </w:r>
          </w:p>
        </w:tc>
        <w:tc>
          <w:tcPr>
            <w:tcW w:type="dxa" w:w="17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~80.4 million</w:t>
            </w:r>
          </w:p>
        </w:tc>
        <w:tc>
          <w:tcPr>
            <w:tcW w:type="dxa" w:w="17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4 KB</w:t>
            </w:r>
          </w:p>
        </w:tc>
        <w:tc>
          <w:tcPr>
            <w:tcW w:type="dxa" w:w="2800"/>
            <w:tcBorders>
              <w:top w:val="single" w:color="888888" w:sz="4"/>
              <w:left w:val="single" w:color="888888" w:sz="4"/>
              <w:bottom w:val="single" w:color="888888" w:sz="4"/>
              <w:right w:val="single" w:color="888888" w:sz="4"/>
            </w:tcBorders>
            <w:shd w:fill="FFFFFF" w:val="clear"/>
            <w:tcMar>
              <w:top w:type="dxa" w:w="80"/>
              <w:left w:type="dxa" w:w="120"/>
              <w:bottom w:type="dxa" w:w="80"/>
              <w:right w:type="dxa" w:w="120"/>
            </w:tcMar>
          </w:tcPr>
          <w:p>
            <w:pPr>
              <w:jc w:val="left"/>
            </w:pPr>
            <w:r>
              <w:rPr>
                <w:rFonts w:ascii="Times New Roman" w:cs="Times New Roman" w:eastAsia="Times New Roman" w:hAnsi="Times New Roman"/>
                <w:b w:val="false"/>
                <w:bCs w:val="false"/>
                <w:sz w:val="20"/>
                <w:szCs w:val="20"/>
              </w:rPr>
              <w:t xml:space="preserve">Metadata / filesystem journal</w:t>
            </w:r>
          </w:p>
        </w:tc>
      </w:tr>
      <w:tr>
        <w:tc>
          <w:tcPr>
            <w:tcW w:type="dxa" w:w="28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512 KB</w:t>
            </w:r>
          </w:p>
        </w:tc>
        <w:tc>
          <w:tcPr>
            <w:tcW w:type="dxa" w:w="17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~628,000</w:t>
            </w:r>
          </w:p>
        </w:tc>
        <w:tc>
          <w:tcPr>
            <w:tcW w:type="dxa" w:w="17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512 KB</w:t>
            </w:r>
          </w:p>
        </w:tc>
        <w:tc>
          <w:tcPr>
            <w:tcW w:type="dxa" w:w="2800"/>
            <w:tcBorders>
              <w:top w:val="single" w:color="888888" w:sz="4"/>
              <w:left w:val="single" w:color="888888" w:sz="4"/>
              <w:bottom w:val="single" w:color="888888" w:sz="4"/>
              <w:right w:val="single" w:color="888888" w:sz="4"/>
            </w:tcBorders>
            <w:shd w:fill="FFFFFF" w:val="clear"/>
            <w:tcMar>
              <w:top w:type="dxa" w:w="80"/>
              <w:left w:type="dxa" w:w="120"/>
              <w:bottom w:type="dxa" w:w="80"/>
              <w:right w:type="dxa" w:w="120"/>
            </w:tcMar>
          </w:tcPr>
          <w:p>
            <w:pPr>
              <w:jc w:val="left"/>
            </w:pPr>
            <w:r>
              <w:rPr>
                <w:rFonts w:ascii="Times New Roman" w:cs="Times New Roman" w:eastAsia="Times New Roman" w:hAnsi="Times New Roman"/>
                <w:b w:val="false"/>
                <w:bCs w:val="false"/>
                <w:sz w:val="20"/>
                <w:szCs w:val="20"/>
              </w:rPr>
              <w:t xml:space="preserve">Small file correction ops</w:t>
            </w:r>
          </w:p>
        </w:tc>
      </w:tr>
      <w:tr>
        <w:tc>
          <w:tcPr>
            <w:tcW w:type="dxa" w:w="28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100 MB</w:t>
            </w:r>
          </w:p>
        </w:tc>
        <w:tc>
          <w:tcPr>
            <w:tcW w:type="dxa" w:w="17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~3,215</w:t>
            </w:r>
          </w:p>
        </w:tc>
        <w:tc>
          <w:tcPr>
            <w:tcW w:type="dxa" w:w="17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100 MB</w:t>
            </w:r>
          </w:p>
        </w:tc>
        <w:tc>
          <w:tcPr>
            <w:tcW w:type="dxa" w:w="2800"/>
            <w:tcBorders>
              <w:top w:val="single" w:color="888888" w:sz="4"/>
              <w:left w:val="single" w:color="888888" w:sz="4"/>
              <w:bottom w:val="single" w:color="888888" w:sz="4"/>
              <w:right w:val="single" w:color="888888" w:sz="4"/>
            </w:tcBorders>
            <w:shd w:fill="FFFFFF" w:val="clear"/>
            <w:tcMar>
              <w:top w:type="dxa" w:w="80"/>
              <w:left w:type="dxa" w:w="120"/>
              <w:bottom w:type="dxa" w:w="80"/>
              <w:right w:type="dxa" w:w="120"/>
            </w:tcMar>
          </w:tcPr>
          <w:p>
            <w:pPr>
              <w:jc w:val="left"/>
            </w:pPr>
            <w:r>
              <w:rPr>
                <w:rFonts w:ascii="Times New Roman" w:cs="Times New Roman" w:eastAsia="Times New Roman" w:hAnsi="Times New Roman"/>
                <w:b w:val="false"/>
                <w:bCs w:val="false"/>
                <w:sz w:val="20"/>
                <w:szCs w:val="20"/>
              </w:rPr>
              <w:t xml:space="preserve">Appendix Section C reference point</w:t>
            </w:r>
          </w:p>
        </w:tc>
      </w:tr>
      <w:tr>
        <w:tc>
          <w:tcPr>
            <w:tcW w:type="dxa" w:w="28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10 GB</w:t>
            </w:r>
          </w:p>
        </w:tc>
        <w:tc>
          <w:tcPr>
            <w:tcW w:type="dxa" w:w="17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~32</w:t>
            </w:r>
          </w:p>
        </w:tc>
        <w:tc>
          <w:tcPr>
            <w:tcW w:type="dxa" w:w="17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10 GB</w:t>
            </w:r>
          </w:p>
        </w:tc>
        <w:tc>
          <w:tcPr>
            <w:tcW w:type="dxa" w:w="2800"/>
            <w:tcBorders>
              <w:top w:val="single" w:color="888888" w:sz="4"/>
              <w:left w:val="single" w:color="888888" w:sz="4"/>
              <w:bottom w:val="single" w:color="888888" w:sz="4"/>
              <w:right w:val="single" w:color="888888" w:sz="4"/>
            </w:tcBorders>
            <w:shd w:fill="FFFFFF" w:val="clear"/>
            <w:tcMar>
              <w:top w:type="dxa" w:w="80"/>
              <w:left w:type="dxa" w:w="120"/>
              <w:bottom w:type="dxa" w:w="80"/>
              <w:right w:type="dxa" w:w="120"/>
            </w:tcMar>
          </w:tcPr>
          <w:p>
            <w:pPr>
              <w:jc w:val="left"/>
            </w:pPr>
            <w:r>
              <w:rPr>
                <w:rFonts w:ascii="Times New Roman" w:cs="Times New Roman" w:eastAsia="Times New Roman" w:hAnsi="Times New Roman"/>
                <w:b w:val="false"/>
                <w:bCs w:val="false"/>
                <w:sz w:val="20"/>
                <w:szCs w:val="20"/>
              </w:rPr>
              <w:t xml:space="preserve">Appendix Section C reference point</w:t>
            </w:r>
          </w:p>
        </w:tc>
      </w:tr>
      <w:tr>
        <w:tc>
          <w:tcPr>
            <w:tcW w:type="dxa" w:w="28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1 GB</w:t>
            </w:r>
          </w:p>
        </w:tc>
        <w:tc>
          <w:tcPr>
            <w:tcW w:type="dxa" w:w="17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~322</w:t>
            </w:r>
          </w:p>
        </w:tc>
        <w:tc>
          <w:tcPr>
            <w:tcW w:type="dxa" w:w="17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1 GB</w:t>
            </w:r>
          </w:p>
        </w:tc>
        <w:tc>
          <w:tcPr>
            <w:tcW w:type="dxa" w:w="2800"/>
            <w:tcBorders>
              <w:top w:val="single" w:color="888888" w:sz="4"/>
              <w:left w:val="single" w:color="888888" w:sz="4"/>
              <w:bottom w:val="single" w:color="888888" w:sz="4"/>
              <w:right w:val="single" w:color="888888" w:sz="4"/>
            </w:tcBorders>
            <w:shd w:fill="FFFFFF" w:val="clear"/>
            <w:tcMar>
              <w:top w:type="dxa" w:w="80"/>
              <w:left w:type="dxa" w:w="120"/>
              <w:bottom w:type="dxa" w:w="80"/>
              <w:right w:type="dxa" w:w="120"/>
            </w:tcMar>
          </w:tcPr>
          <w:p>
            <w:pPr>
              <w:jc w:val="left"/>
            </w:pPr>
            <w:r>
              <w:rPr>
                <w:rFonts w:ascii="Times New Roman" w:cs="Times New Roman" w:eastAsia="Times New Roman" w:hAnsi="Times New Roman"/>
                <w:b w:val="false"/>
                <w:bCs w:val="false"/>
                <w:sz w:val="20"/>
                <w:szCs w:val="20"/>
              </w:rPr>
              <w:t xml:space="preserve">Large batch correction / append</w:t>
            </w:r>
          </w:p>
        </w:tc>
      </w:tr>
    </w:tbl>
    <w:p>
      <w:pPr>
        <w:spacing w:after="60"/>
      </w:pPr>
      <w:r>
        <w:t xml:space="preserve"/>
      </w:r>
    </w:p>
    <w:p>
      <w:pPr>
        <w:spacing w:after="160" w:before="60"/>
        <w:jc w:val="both"/>
      </w:pPr>
      <w:r>
        <w:rPr>
          <w:rFonts w:ascii="Times New Roman" w:cs="Times New Roman" w:eastAsia="Times New Roman" w:hAnsi="Times New Roman"/>
          <w:sz w:val="19"/>
          <w:szCs w:val="19"/>
        </w:rPr>
        <w:t xml:space="preserve">Table 1. Endurance reference points computed from E_lifecycle = 314 GB / B_size per Appendix Section C. The 100 MB and 10 GB rows are the reference cases stated in the appendix. All figures assume uniform spatial distribution of writes via OFTL wear-leveling. The ~0.63 equivalent full-drive rewrite budget is invariant across block sizes, reflecting the fundamental coordinate consumption constraint.</w:t>
      </w:r>
    </w:p>
    <w:p>
      <w:pPr>
        <w:spacing w:after="120" w:line="276" w:lineRule="auto"/>
        <w:jc w:val="both"/>
      </w:pPr>
      <w:r>
        <w:rPr>
          <w:rFonts w:ascii="Times New Roman" w:cs="Times New Roman" w:eastAsia="Times New Roman" w:hAnsi="Times New Roman"/>
          <w:sz w:val="22"/>
          <w:szCs w:val="22"/>
        </w:rPr>
        <w:t xml:space="preserve">The 0.63 effective full-drive rewrite figure is a designed system property, not a deficiency. The drive's intended operational profile is strongly read-dominant with infrequent partial updates — precisely the pattern of archival systems. Upon spare area exhaustion, the hardware lockout engages, the drive transitions to permanent read-only archival status, and the Endurance Counter log provides a complete provenance record of all write operations during the active phase.</w:t>
      </w:r>
    </w:p>
    <w:p>
      <w:pPr>
        <w:pBdr>
          <w:bottom w:val="single" w:color="444444" w:sz="6" w:space="1"/>
        </w:pBdr>
        <w:spacing w:after="160" w:before="160"/>
      </w:pPr>
      <w:r>
        <w:rPr>
          <w:sz w:val="4"/>
          <w:szCs w:val="4"/>
        </w:rPr>
        <w:t xml:space="preserve"/>
      </w:r>
    </w:p>
    <w:p>
      <w:pPr>
        <w:spacing w:after="140" w:before="300"/>
      </w:pPr>
      <w:r>
        <w:rPr>
          <w:rFonts w:ascii="Times New Roman" w:cs="Times New Roman" w:eastAsia="Times New Roman" w:hAnsi="Times New Roman"/>
          <w:b/>
          <w:bCs/>
          <w:sz w:val="24"/>
          <w:szCs w:val="24"/>
        </w:rPr>
        <w:t xml:space="preserve">5. TECHNICAL LIMITATIONS AND OPEN ENGINEERING CHALLENGES</w:t>
      </w:r>
    </w:p>
    <w:p>
      <w:pPr>
        <w:spacing w:after="100" w:before="220"/>
      </w:pPr>
      <w:r>
        <w:rPr>
          <w:rFonts w:ascii="Times New Roman" w:cs="Times New Roman" w:eastAsia="Times New Roman" w:hAnsi="Times New Roman"/>
          <w:b/>
          <w:bCs/>
          <w:sz w:val="22"/>
          <w:szCs w:val="22"/>
        </w:rPr>
        <w:t xml:space="preserve">5.1  Axial Pitch Margin and NA Tolerance Budget</w:t>
      </w:r>
    </w:p>
    <w:p>
      <w:pPr>
        <w:spacing w:after="120" w:line="276" w:lineRule="auto"/>
        <w:jc w:val="both"/>
      </w:pPr>
      <w:r>
        <w:rPr>
          <w:rFonts w:ascii="Times New Roman" w:cs="Times New Roman" w:eastAsia="Times New Roman" w:hAnsi="Times New Roman"/>
          <w:sz w:val="22"/>
          <w:szCs w:val="22"/>
        </w:rPr>
        <w:t xml:space="preserve">The 1.5 μm lateral pitch requires a minimum objective numerical aperture of NA ≥ 0.69 to maintain diffraction-limited lateral resolution within the pitch boundary at 1030 nm. At exactly NA = 0.69, the theoretical axial (depth-axis) spot diameter is approximately 4.37 μm. Against the 5.0 μm axial pitch, this leaves a clearance margin of only 0.63 μm between the edge of one voxel and the center plane of the next — a tolerance of approximately 12.6% of the axial pitch. In practice, aberration-broadened axial spots, thermal expansion of the glass during writing, and mechanical stage positioning uncertainty each consume fractions of this budget.</w:t>
      </w:r>
    </w:p>
    <w:p>
      <w:pPr>
        <w:spacing w:after="120" w:line="276" w:lineRule="auto"/>
        <w:jc w:val="both"/>
      </w:pPr>
      <w:r>
        <w:rPr>
          <w:rFonts w:ascii="Times New Roman" w:cs="Times New Roman" w:eastAsia="Times New Roman" w:hAnsi="Times New Roman"/>
          <w:sz w:val="22"/>
          <w:szCs w:val="22"/>
        </w:rPr>
        <w:t xml:space="preserve">A conservative analysis suggests operating at NA = 0.75–0.85 to reduce axial spot size to approximately 3.2–3.8 μm, increasing the clearance margin to 1.2–1.8 μm. This demands correspondingly tighter SLM aberration correction across the full 16 mm depth range and tighter mechanical alignment tolerances for the three-axis optical assembly. The 1.5 μm lateral pitch is approximately 4× tighter than Project Silica's 6 μm pitch; achieving this at high NA is feasible with current precision objective technology but represents a meaningful increase in system complexity relative to the current state of the art.</w:t>
      </w:r>
    </w:p>
    <w:p>
      <w:pPr>
        <w:spacing w:after="100" w:before="220"/>
      </w:pPr>
      <w:r>
        <w:rPr>
          <w:rFonts w:ascii="Times New Roman" w:cs="Times New Roman" w:eastAsia="Times New Roman" w:hAnsi="Times New Roman"/>
          <w:b/>
          <w:bCs/>
          <w:sz w:val="22"/>
          <w:szCs w:val="22"/>
        </w:rPr>
        <w:t xml:space="preserve">5.2  Convergent Beam Alignment and Temporal Synchronization</w:t>
      </w:r>
    </w:p>
    <w:p>
      <w:pPr>
        <w:spacing w:after="120" w:line="276" w:lineRule="auto"/>
        <w:jc w:val="both"/>
      </w:pPr>
      <w:r>
        <w:rPr>
          <w:rFonts w:ascii="Times New Roman" w:cs="Times New Roman" w:eastAsia="Times New Roman" w:hAnsi="Times New Roman"/>
          <w:sz w:val="22"/>
          <w:szCs w:val="22"/>
        </w:rPr>
        <w:t xml:space="preserve">The split-beam convergent firing protocol requires that sub-threshold beams from two or three laser axes arrive at the target coordinate with spatial overlap of less than one voxel diameter (approximately 0.5–2 μm at the convergence point) and temporal overlap within the coherence length of the pulse train. Temporal synchronization of pulse trains from independent laser sources must be maintained to within the pulse duration (100–280 fs), corresponding to a path length tolerance of approximately 30–80 μm. Spatial pointing accuracy across all three axes must be maintained to better than ±0.25 μm at the convergence point, requiring sub-micrometer precision kinematic stages, galvanometer mirror scanning with real-time calibration, and tight thermal stabilization of the entire optical assembly. These are achievable with current precision instrumentation but demand a purpose-built optomechanical platform rather than adaptation of existing single-axis glass writing systems.</w:t>
      </w:r>
    </w:p>
    <w:p>
      <w:pPr>
        <w:spacing w:after="100" w:before="220"/>
      </w:pPr>
      <w:r>
        <w:rPr>
          <w:rFonts w:ascii="Times New Roman" w:cs="Times New Roman" w:eastAsia="Times New Roman" w:hAnsi="Times New Roman"/>
          <w:b/>
          <w:bCs/>
          <w:sz w:val="22"/>
          <w:szCs w:val="22"/>
        </w:rPr>
        <w:t xml:space="preserve">5.3  Multi-Ray Superposition: The Key Physical Unknown</w:t>
      </w:r>
    </w:p>
    <w:p>
      <w:pPr>
        <w:spacing w:after="120" w:line="276" w:lineRule="auto"/>
        <w:jc w:val="both"/>
      </w:pPr>
      <w:r>
        <w:rPr>
          <w:rFonts w:ascii="Times New Roman" w:cs="Times New Roman" w:eastAsia="Times New Roman" w:hAnsi="Times New Roman"/>
          <w:sz w:val="22"/>
          <w:szCs w:val="22"/>
        </w:rPr>
        <w:t xml:space="preserve">The 14-Ray Voxel Matrix scheme is predicated on the assumption that multiple directional nanograting modifications can coexist independently and stably at a single voxel coordinate. This is the most significant unvalidated physical assumption in the entire architecture and the most critical risk factor for the proof of concept.</w:t>
      </w:r>
    </w:p>
    <w:p>
      <w:pPr>
        <w:spacing w:after="120" w:line="276" w:lineRule="auto"/>
        <w:jc w:val="both"/>
      </w:pPr>
      <w:r>
        <w:rPr>
          <w:rFonts w:ascii="Times New Roman" w:cs="Times New Roman" w:eastAsia="Times New Roman" w:hAnsi="Times New Roman"/>
          <w:sz w:val="22"/>
          <w:szCs w:val="22"/>
        </w:rPr>
        <w:t xml:space="preserve">Current femtosecond laser nanostructuring research establishes that nanograting orientation is primarily controlled by the polarization state of the writing pulse sequence, and that the orientation of a pre-existing nanograting at a site can be altered by subsequent exposure with a differently polarized pulse — a form of effective rewriting. This competitive behavior between successive directional modifications at the same coordinate is well-documented in rewritability research. If this behavior generalizes to the 14-ray regime, then multiple independent directional modifications at a single site would not coexist stably — later-written rays would partially or fully disrupt earlier ones, collapsing the full 16,384-state space toward a much smaller set of achievable states.</w:t>
      </w:r>
    </w:p>
    <w:p>
      <w:pPr>
        <w:spacing w:after="120" w:line="276" w:lineRule="auto"/>
        <w:jc w:val="both"/>
      </w:pPr>
      <w:r>
        <w:rPr>
          <w:rFonts w:ascii="Times New Roman" w:cs="Times New Roman" w:eastAsia="Times New Roman" w:hAnsi="Times New Roman"/>
          <w:sz w:val="22"/>
          <w:szCs w:val="22"/>
        </w:rPr>
        <w:t xml:space="preserve">Several potential mitigations exist and must be evaluated experimentally:</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Sub-threshold sequential exposure: If the energy per individual ray write is maintained sufficiently below the full modification threshold, each directional exposure may add a partial structural perturbation without destroying prior modifications. The accumulated multi-ray state would then represent a genuine superposition rather than a competitive replacement. The nonlinear nature of the modification process makes this scenario physically possible but not guaranteed.</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Spatially separated sub-voxel micro-zones: The 1.5 μm lateral voxel pitch allows each voxel site to occupy a physical volume of approximately 1.5 × 1.5 × 5.0 μm³. Multiple directional modifications could potentially be spatially separated within this volume — each ray writing to a distinct sub-region — if the modification zone is sufficiently smaller than the voxel dimensions. At NA = 0.75, the modification zone diameter is approximately 0.9 μm laterally, suggesting up to 2–3 non-overlapping modification loci could fit within the 1.5 μm lateral extent.</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Alternative modification mechanisms for diagonal rays: The 8 diagonal ray modifications need not use the same nanograting mechanism as the 6 cardinal rays. Diagonal modifications could instead employ phase voxels (type I or type X modifications), void formations, or stress-induced birefringence — physically distinct structural changes that are independently detectable and non-competitive with the cardinal nanogratings. This hybrid modification approach would reduce the superposition competition risk at the cost of requiring the write system to switch between modification regimes per ray type.</w:t>
      </w:r>
    </w:p>
    <w:p>
      <w:pPr>
        <w:spacing w:after="60"/>
      </w:pPr>
      <w:r>
        <w:t xml:space="preserve"/>
      </w:r>
    </w:p>
    <w:p>
      <w:pPr>
        <w:spacing w:after="120" w:line="276" w:lineRule="auto"/>
        <w:jc w:val="both"/>
      </w:pPr>
      <w:r>
        <w:rPr>
          <w:rFonts w:ascii="Times New Roman" w:cs="Times New Roman" w:eastAsia="Times New Roman" w:hAnsi="Times New Roman"/>
          <w:sz w:val="22"/>
          <w:szCs w:val="22"/>
        </w:rPr>
        <w:t xml:space="preserve">Resolution of this question is the highest-priority task for Phase 1 of the proof-of-concept program. Until experimental evidence confirms stable multi-ray superposition, the conservative assumption for capacity modeling should treat each voxel as encoding a single directional state from a 14-state alphabet (plus null), yielding 15 possible states per voxel ≈ 3.9 bits — substantially less than the 18-bit combined target. The patent claims, architectural diagrams, and FTL model are valid regardless of this resolution, as they apply equally to any multi-state encoding scheme; only the gross capacity figure is materially affected.</w:t>
      </w:r>
    </w:p>
    <w:p>
      <w:pPr>
        <w:spacing w:after="100" w:before="220"/>
      </w:pPr>
      <w:r>
        <w:rPr>
          <w:rFonts w:ascii="Times New Roman" w:cs="Times New Roman" w:eastAsia="Times New Roman" w:hAnsi="Times New Roman"/>
          <w:b/>
          <w:bCs/>
          <w:sz w:val="22"/>
          <w:szCs w:val="22"/>
        </w:rPr>
        <w:t xml:space="preserve">5.4  Diagonal Ray Write Geometry</w:t>
      </w:r>
    </w:p>
    <w:p>
      <w:pPr>
        <w:spacing w:after="120" w:line="276" w:lineRule="auto"/>
        <w:jc w:val="both"/>
      </w:pPr>
      <w:r>
        <w:rPr>
          <w:rFonts w:ascii="Times New Roman" w:cs="Times New Roman" w:eastAsia="Times New Roman" w:hAnsi="Times New Roman"/>
          <w:sz w:val="22"/>
          <w:szCs w:val="22"/>
        </w:rPr>
        <w:t xml:space="preserve">The 8 diagonal ray vectors ([±1, ±1, ±1]) require laser beams aligned to directions 54.7° from each face normal — a geometry not accessible by any single one of the three orthogonal laser arrays, each of which addresses only its respective face-normal direction. Diagonal ray modifications must instead be achieved by simultaneous convergent illumination from two or three orthogonal laser arrays, with each contributing a sub-threshold beam aimed at a common interior convergence point from its respective face. The resulting combined intensity maximum occurs along the diagonal direction if the individual beams are appropriately angled relative to their respective faces — achievable with galvanometer beam steering within each axis's optical train.</w:t>
      </w:r>
    </w:p>
    <w:p>
      <w:pPr>
        <w:spacing w:after="120" w:line="276" w:lineRule="auto"/>
        <w:jc w:val="both"/>
      </w:pPr>
      <w:r>
        <w:rPr>
          <w:rFonts w:ascii="Times New Roman" w:cs="Times New Roman" w:eastAsia="Times New Roman" w:hAnsi="Times New Roman"/>
          <w:sz w:val="22"/>
          <w:szCs w:val="22"/>
        </w:rPr>
        <w:t xml:space="preserve">The polarization required to produce a nanograting oriented along a [111] diagonal direction is itself a [111]-oriented linear polarization, achievable with a half-wave plate and polarization rotator in the beam path. However, when contributions from three orthogonal laser arms are combined, each arm's polarization independently contributes to the net polarization at the convergence point. Designing the three-arm polarization states to produce a net [111] orientation at the convergence point requires careful Jones calculus analysis per target diagonal direction — an engineering task that is well-defined but non-trivial for all 8 diagonal variants.</w:t>
      </w:r>
    </w:p>
    <w:p>
      <w:pPr>
        <w:spacing w:after="100" w:before="220"/>
      </w:pPr>
      <w:r>
        <w:rPr>
          <w:rFonts w:ascii="Times New Roman" w:cs="Times New Roman" w:eastAsia="Times New Roman" w:hAnsi="Times New Roman"/>
          <w:b/>
          <w:bCs/>
          <w:sz w:val="22"/>
          <w:szCs w:val="22"/>
        </w:rPr>
        <w:t xml:space="preserve">5.5  Tomographic Reconstruction with Underdetermined Projections</w:t>
      </w:r>
    </w:p>
    <w:p>
      <w:pPr>
        <w:spacing w:after="120" w:line="276" w:lineRule="auto"/>
        <w:jc w:val="both"/>
      </w:pPr>
      <w:r>
        <w:rPr>
          <w:rFonts w:ascii="Times New Roman" w:cs="Times New Roman" w:eastAsia="Times New Roman" w:hAnsi="Times New Roman"/>
          <w:sz w:val="22"/>
          <w:szCs w:val="22"/>
        </w:rPr>
        <w:t xml:space="preserve">Three orthogonal projections of a 16 mm cube at 1.5 μm lateral resolution constitute a severely underdetermined inverse problem for full 3D reconstruction. For the 14-ray voxel matrix, the cross-channel signature approach described in Section 3.4 relies on the physically distinct projection signatures of each ray type to decompose the measurement. Cardinal rays (R₁–R₆) produce strong single-channel signals in their respective axis cameras; diagonal rays (R₇–R₁₄) produce characteristic weaker cross-channel signatures. The practical discriminability of these signatures — particularly for voxels in dense regions where many adjacent voxels are simultaneously active — must be validated computationally before the reconstruction pipeline can be certified for production use. Training data for the CNN decoder must include synthetic multi-ray superposition patterns that may not yet be physically realized, necessitating validated physical models of the optical signatures of each ray modification type.</w:t>
      </w:r>
    </w:p>
    <w:p>
      <w:pPr>
        <w:spacing w:after="100" w:before="220"/>
      </w:pPr>
      <w:r>
        <w:rPr>
          <w:rFonts w:ascii="Times New Roman" w:cs="Times New Roman" w:eastAsia="Times New Roman" w:hAnsi="Times New Roman"/>
          <w:b/>
          <w:bCs/>
          <w:sz w:val="22"/>
          <w:szCs w:val="22"/>
        </w:rPr>
        <w:t xml:space="preserve">5.6  Thermal Cross-Talk and Repetition Rate Limits</w:t>
      </w:r>
    </w:p>
    <w:p>
      <w:pPr>
        <w:spacing w:after="120" w:line="276" w:lineRule="auto"/>
        <w:jc w:val="both"/>
      </w:pPr>
      <w:r>
        <w:rPr>
          <w:rFonts w:ascii="Times New Roman" w:cs="Times New Roman" w:eastAsia="Times New Roman" w:hAnsi="Times New Roman"/>
          <w:sz w:val="22"/>
          <w:szCs w:val="22"/>
        </w:rPr>
        <w:t xml:space="preserve">At 10 MHz repetition rate, the inter-pulse thermal diffusion length in fused silica is approximately 0.28 μm — comparable to the voxel diameter. Consecutive writes to adjacent coordinates at full repetition rate risk cumulative thermal loading that could extend modification zones beyond intended boundaries, degrading neighboring voxels' encoded states. The OFTL wear-leveling spatial dispersion heuristic naturally prevents consecutive writes to adjacent coordinates; however, compliance with the thermal budget must be verified across all workload scenarios, including worst-case sequential write patterns. Operating at reduced repetition rates (1 MHz or below) substantially relaxes this constraint at the cost of reduced write throughput.</w:t>
      </w:r>
    </w:p>
    <w:p>
      <w:pPr>
        <w:pBdr>
          <w:bottom w:val="single" w:color="444444" w:sz="6" w:space="1"/>
        </w:pBdr>
        <w:spacing w:after="160" w:before="160"/>
      </w:pPr>
      <w:r>
        <w:rPr>
          <w:sz w:val="4"/>
          <w:szCs w:val="4"/>
        </w:rPr>
        <w:t xml:space="preserve"/>
      </w:r>
    </w:p>
    <w:p>
      <w:pPr>
        <w:spacing w:after="140" w:before="300"/>
      </w:pPr>
      <w:r>
        <w:rPr>
          <w:rFonts w:ascii="Times New Roman" w:cs="Times New Roman" w:eastAsia="Times New Roman" w:hAnsi="Times New Roman"/>
          <w:b/>
          <w:bCs/>
          <w:sz w:val="24"/>
          <w:szCs w:val="24"/>
        </w:rPr>
        <w:t xml:space="preserve">6. PROOF OF CONCEPT ROADMAP</w:t>
      </w:r>
    </w:p>
    <w:p>
      <w:pPr>
        <w:spacing w:after="100" w:before="220"/>
      </w:pPr>
      <w:r>
        <w:rPr>
          <w:rFonts w:ascii="Times New Roman" w:cs="Times New Roman" w:eastAsia="Times New Roman" w:hAnsi="Times New Roman"/>
          <w:b/>
          <w:bCs/>
          <w:sz w:val="22"/>
          <w:szCs w:val="22"/>
        </w:rPr>
        <w:t xml:space="preserve">6.1  Phase 1 — Sub-Component Validation (Months 1–12)</w:t>
      </w:r>
    </w:p>
    <w:p>
      <w:pPr>
        <w:spacing w:after="120" w:line="276" w:lineRule="auto"/>
        <w:jc w:val="both"/>
      </w:pPr>
      <w:r>
        <w:rPr>
          <w:rFonts w:ascii="Times New Roman" w:cs="Times New Roman" w:eastAsia="Times New Roman" w:hAnsi="Times New Roman"/>
          <w:sz w:val="22"/>
          <w:szCs w:val="22"/>
        </w:rPr>
        <w:t xml:space="preserve">Phase 1 validates each novel mechanism independently before system integration:</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14-Ray Superposition Validation (Critical Path): Write sequential directional modifications at the same voxel coordinate in fused silica — first two cardinal modifications from orthogonal axes, then a cardinal plus diagonal combination. Image cross-sections using confocal polarimetry and phase-contrast microscopy to determine whether modifications coexist additively or competitively overwrite each other. Document the accessible state space as a function of exposure sequence and energy. This result determines whether the full 16,384-state model is achievable, or whether a reduced conservative model must be adopted.</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Convergent Sub-Threshold Write Validation: Configure two counter-propagating femtosecond laser beams along the Z and X axes, each attenuated to 40% of the empirical single-beam modification threshold. Sweep convergence parameters to establish the writing window. Verify sub-2 μm convergence-point selectivity with no detectable modification along individual beam paths. Extend to three-axis convergence and diagonal write attempts.</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Tomographic Read Validation: Write a sparse array of known single-ray and multi-ray voxels using Phase 1 convergent writing. Acquire simultaneous three-projection images from a laboratory three-axis camera rig. Apply neural network reconstruction to recover voxel states and compare against ground truth. Target: ≥99% single-ray state detection accuracy; characterize multi-ray discrimination accuracy as a function of ray combination and voxel density.</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OFTL Software Emulation: Implement a software OFTL emulator managing a simulated 814 GB coordinate space. Execute representative write/overwrite/tombstone workloads; validate LPAM integrity across simulated power failures; confirm E_lifecycle = 314 GB / B_size trajectory under all tabulated workload profiles.</w:t>
      </w:r>
    </w:p>
    <w:p>
      <w:pPr>
        <w:spacing w:after="100" w:before="220"/>
      </w:pPr>
      <w:r>
        <w:rPr>
          <w:rFonts w:ascii="Times New Roman" w:cs="Times New Roman" w:eastAsia="Times New Roman" w:hAnsi="Times New Roman"/>
          <w:b/>
          <w:bCs/>
          <w:sz w:val="22"/>
          <w:szCs w:val="22"/>
        </w:rPr>
        <w:t xml:space="preserve">6.2  Phase 2 — Integrated System Prototype (Months 12–30)</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Drive Controller FPGA: Implement OFTL, convergent beam timing synchronization, SLM phase mask library management, tomographic reconstruction co-processor interface, and host-facing NVMe interface.</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Three-Axis Optical Integration: Assemble all three laser subsystems and camera arrays on a vibration-isolated optical bench with the 16 mm cube in a precision kinematic mount. Validate full three-dimensional voxel write access across the cube volume. Confirm diagonal ray writing achieves target superposition fidelity.</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End-to-End Benchmark: Execute archival-adapted storage benchmarks measuring write throughput, read throughput, bit error rate at multiple filling densities, and OFTL wear-leveling behavior over a simulated lifetime write cycle. Record endurance counter trajectory and confirm hardware lockout behavior at spare area exhaustion.</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Accelerated Aging Verification: Subject a written prototype cube to thermal stress per the Microsoft/Southampton accelerated aging protocol (440–500°C sequential cycles). Verify all-ray voxel states — including multi-ray superpositions — remain stable and recoverable.</w:t>
      </w:r>
    </w:p>
    <w:p>
      <w:pPr>
        <w:spacing w:after="100" w:before="220"/>
      </w:pPr>
      <w:r>
        <w:rPr>
          <w:rFonts w:ascii="Times New Roman" w:cs="Times New Roman" w:eastAsia="Times New Roman" w:hAnsi="Times New Roman"/>
          <w:b/>
          <w:bCs/>
          <w:sz w:val="22"/>
          <w:szCs w:val="22"/>
        </w:rPr>
        <w:t xml:space="preserve">6.3  Phase 3 — Pilot Commercialization (Months 30–48)</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Government and National Archive Pilot: Partner with a national archive for digitized heritage collection preservation, targeting the combination of active manageability during the working phase and guaranteed archival permanence after lockout.</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Medical Imaging PACS Integration: Evaluate in hospital radiology PACS contexts requiring indefinite retention with legal-grade data integrity guarantees, exploiting the hardware lockout as a tamper-evidence mechanism.</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Decoupled Archive Tracking Protocol: Develop the host-level metadata system recording the full write history from OFTL Endurance Counter logs and glass-embedded metadata snapshots, enabling archivists to reconstruct complete write provenance from the locked-out medium.</w:t>
      </w:r>
    </w:p>
    <w:p>
      <w:pPr>
        <w:pBdr>
          <w:bottom w:val="single" w:color="444444" w:sz="6" w:space="1"/>
        </w:pBdr>
        <w:spacing w:after="160" w:before="160"/>
      </w:pPr>
      <w:r>
        <w:rPr>
          <w:sz w:val="4"/>
          <w:szCs w:val="4"/>
        </w:rPr>
        <w:t xml:space="preserve"/>
      </w:r>
    </w:p>
    <w:p>
      <w:pPr>
        <w:spacing w:after="140" w:before="300"/>
      </w:pPr>
      <w:r>
        <w:rPr>
          <w:rFonts w:ascii="Times New Roman" w:cs="Times New Roman" w:eastAsia="Times New Roman" w:hAnsi="Times New Roman"/>
          <w:b/>
          <w:bCs/>
          <w:sz w:val="24"/>
          <w:szCs w:val="24"/>
        </w:rPr>
        <w:t xml:space="preserve">7. PATENT-RELEVANT NOVELTY CLAIMS</w:t>
      </w:r>
    </w:p>
    <w:p>
      <w:pPr>
        <w:spacing w:after="120" w:line="276" w:lineRule="auto"/>
        <w:jc w:val="both"/>
      </w:pPr>
      <w:r>
        <w:rPr>
          <w:rFonts w:ascii="Times New Roman" w:cs="Times New Roman" w:eastAsia="Times New Roman" w:hAnsi="Times New Roman"/>
          <w:sz w:val="22"/>
          <w:szCs w:val="22"/>
        </w:rPr>
        <w:t xml:space="preserve">The following enumerated claims represent the principal novel technical contributions over the surveyed prior art. Each claim is a preliminary framing for formal patent application drafting and does not constitute legal claim language. Claims are organized into three groups: Apparatus (hardware architecture), Method (OFTL write protocol), and System (end-to-end architecture).</w:t>
      </w:r>
    </w:p>
    <w:p>
      <w:pPr>
        <w:spacing w:after="80" w:before="160"/>
      </w:pPr>
      <w:r>
        <w:rPr>
          <w:rFonts w:ascii="Times New Roman" w:cs="Times New Roman" w:eastAsia="Times New Roman" w:hAnsi="Times New Roman"/>
          <w:b/>
          <w:bCs/>
          <w:sz w:val="22"/>
          <w:szCs w:val="22"/>
        </w:rPr>
        <w:t xml:space="preserve">Claim Group A — Apparatus</w:t>
      </w:r>
    </w:p>
    <w:p>
      <w:pPr>
        <w:pStyle w:val="ListParagraph"/>
        <w:numPr>
          <w:ilvl w:val="0"/>
          <w:numId w:val="3"/>
        </w:numPr>
        <w:spacing w:after="80"/>
        <w:ind w:left="720" w:hanging="360"/>
      </w:pPr>
      <w:r>
        <w:rPr>
          <w:rFonts w:ascii="Times New Roman" w:cs="Times New Roman" w:eastAsia="Times New Roman" w:hAnsi="Times New Roman"/>
          <w:sz w:val="22"/>
          <w:szCs w:val="22"/>
        </w:rPr>
        <w:t xml:space="preserve">A volumetric optical storage device comprising a solid-state glass substrate of cubic geometry; a first femtosecond laser write subsystem aligned to a first face; a second subsystem aligned to a second orthogonal face; a third subsystem aligned to a third orthogonal face; wherein no individual subsystem delivers sufficient fluence to independently modify the glass at the target coordinate, and structural modification is induced exclusively by simultaneous convergent illumination from two or more subsystems.</w:t>
      </w:r>
    </w:p>
    <w:p>
      <w:pPr>
        <w:pStyle w:val="ListParagraph"/>
        <w:numPr>
          <w:ilvl w:val="0"/>
          <w:numId w:val="3"/>
        </w:numPr>
        <w:spacing w:after="80"/>
        <w:ind w:left="720" w:hanging="360"/>
      </w:pPr>
      <w:r>
        <w:rPr>
          <w:rFonts w:ascii="Times New Roman" w:cs="Times New Roman" w:eastAsia="Times New Roman" w:hAnsi="Times New Roman"/>
          <w:sz w:val="22"/>
          <w:szCs w:val="22"/>
        </w:rPr>
        <w:t xml:space="preserve">The device of Claim 1, wherein each voxel site is encoded as a 14-dimensional binary vector specifying the presence or absence of a directional modification along each of 6 cardinal axial vectors and 8 isometric diagonal vectors of a unit cube centered at the voxel origin.</w:t>
      </w:r>
    </w:p>
    <w:p>
      <w:pPr>
        <w:pStyle w:val="ListParagraph"/>
        <w:numPr>
          <w:ilvl w:val="0"/>
          <w:numId w:val="3"/>
        </w:numPr>
        <w:spacing w:after="80"/>
        <w:ind w:left="720" w:hanging="360"/>
      </w:pPr>
      <w:r>
        <w:rPr>
          <w:rFonts w:ascii="Times New Roman" w:cs="Times New Roman" w:eastAsia="Times New Roman" w:hAnsi="Times New Roman"/>
          <w:sz w:val="22"/>
          <w:szCs w:val="22"/>
        </w:rPr>
        <w:t xml:space="preserve">The device of Claim 2, wherein diagonal modifications along [±1,±1,±1] directions are produced by simultaneous convergent sub-threshold illumination from two or more orthogonal laser subsystems, with the combined intensity at the convergence point exceeding the glass modification threshold while individual subsystem intensities remain below it.</w:t>
      </w:r>
    </w:p>
    <w:p>
      <w:pPr>
        <w:pStyle w:val="ListParagraph"/>
        <w:numPr>
          <w:ilvl w:val="0"/>
          <w:numId w:val="3"/>
        </w:numPr>
        <w:spacing w:after="80"/>
        <w:ind w:left="720" w:hanging="360"/>
      </w:pPr>
      <w:r>
        <w:rPr>
          <w:rFonts w:ascii="Times New Roman" w:cs="Times New Roman" w:eastAsia="Times New Roman" w:hAnsi="Times New Roman"/>
          <w:sz w:val="22"/>
          <w:szCs w:val="22"/>
        </w:rPr>
        <w:t xml:space="preserve">A volumetric optical storage read system comprising a solid-state glass substrate with a 14-ray voxel matrix encoding; a first wide-field camera array coupled to a first face; a second camera array coupled to an orthogonal face; a third camera array coupled to a third orthogonal face; and a tomographic reconstruction processor configured to compute voxel occupancy, directional modification state, and phase-shift magnitude from simultaneous 2D projection images acquired by all three camera arrays, using cross-channel signature analysis to distinguish diagonal from cardinal ray modifications.</w:t>
      </w:r>
    </w:p>
    <w:p>
      <w:pPr>
        <w:spacing w:after="80" w:before="160"/>
      </w:pPr>
      <w:r>
        <w:rPr>
          <w:rFonts w:ascii="Times New Roman" w:cs="Times New Roman" w:eastAsia="Times New Roman" w:hAnsi="Times New Roman"/>
          <w:b/>
          <w:bCs/>
          <w:sz w:val="22"/>
          <w:szCs w:val="22"/>
        </w:rPr>
        <w:t xml:space="preserve">Claim Group B — Method</w:t>
      </w:r>
    </w:p>
    <w:p>
      <w:pPr>
        <w:pStyle w:val="ListParagraph"/>
        <w:numPr>
          <w:ilvl w:val="0"/>
          <w:numId w:val="3"/>
        </w:numPr>
        <w:spacing w:after="80"/>
        <w:ind w:left="720" w:hanging="360"/>
      </w:pPr>
      <w:r>
        <w:rPr>
          <w:rFonts w:ascii="Times New Roman" w:cs="Times New Roman" w:eastAsia="Times New Roman" w:hAnsi="Times New Roman"/>
          <w:sz w:val="22"/>
          <w:szCs w:val="22"/>
        </w:rPr>
        <w:t xml:space="preserve">A method of encoding data in a volumetric glass medium, comprising: selecting a target voxel coordinate; for each of up to 14 directional ray paths corresponding to cardinal and isometric diagonal orientations of a unit cube, independently determining whether a directional modification shall be inscribed at that path; delivering two or more simultaneous sub-threshold femtosecond laser pulses from orthogonal directions such that their convergence point coincides with the target coordinate; and controlling individual beam polarizations to produce the specified directional modification anisotropy at the convergence point.</w:t>
      </w:r>
    </w:p>
    <w:p>
      <w:pPr>
        <w:pStyle w:val="ListParagraph"/>
        <w:numPr>
          <w:ilvl w:val="0"/>
          <w:numId w:val="3"/>
        </w:numPr>
        <w:spacing w:after="80"/>
        <w:ind w:left="720" w:hanging="360"/>
      </w:pPr>
      <w:r>
        <w:rPr>
          <w:rFonts w:ascii="Times New Roman" w:cs="Times New Roman" w:eastAsia="Times New Roman" w:hAnsi="Times New Roman"/>
          <w:sz w:val="22"/>
          <w:szCs w:val="22"/>
        </w:rPr>
        <w:t xml:space="preserve">A method of providing logical rewritability within a write-once physical optical storage medium, comprising: maintaining a logical-to-physical address map associating each logical block address with a unique physical coordinate block; upon receipt of a logical overwrite command, selecting a previously unoccupied coordinate block from a spare area pool; writing the new data to the spare coordinate block; marking the previous coordinate block as tombstoned; and updating the address map to reference the new coordinate block.</w:t>
      </w:r>
    </w:p>
    <w:p>
      <w:pPr>
        <w:pStyle w:val="ListParagraph"/>
        <w:numPr>
          <w:ilvl w:val="0"/>
          <w:numId w:val="3"/>
        </w:numPr>
        <w:spacing w:after="80"/>
        <w:ind w:left="720" w:hanging="360"/>
      </w:pPr>
      <w:r>
        <w:rPr>
          <w:rFonts w:ascii="Times New Roman" w:cs="Times New Roman" w:eastAsia="Times New Roman" w:hAnsi="Times New Roman"/>
          <w:sz w:val="22"/>
          <w:szCs w:val="22"/>
        </w:rPr>
        <w:t xml:space="preserve">The method of Claim 6, further comprising: upon detection that the spare area pool is fully consumed, issuing a permanent hardware lockout preventing all future write operations while preserving full read access to the final written state.</w:t>
      </w:r>
    </w:p>
    <w:p>
      <w:pPr>
        <w:spacing w:after="80" w:before="160"/>
      </w:pPr>
      <w:r>
        <w:rPr>
          <w:rFonts w:ascii="Times New Roman" w:cs="Times New Roman" w:eastAsia="Times New Roman" w:hAnsi="Times New Roman"/>
          <w:b/>
          <w:bCs/>
          <w:sz w:val="22"/>
          <w:szCs w:val="22"/>
        </w:rPr>
        <w:t xml:space="preserve">Claim Group C — System</w:t>
      </w:r>
    </w:p>
    <w:p>
      <w:pPr>
        <w:pStyle w:val="ListParagraph"/>
        <w:numPr>
          <w:ilvl w:val="0"/>
          <w:numId w:val="3"/>
        </w:numPr>
        <w:spacing w:after="80"/>
        <w:ind w:left="720" w:hanging="360"/>
      </w:pPr>
      <w:r>
        <w:rPr>
          <w:rFonts w:ascii="Times New Roman" w:cs="Times New Roman" w:eastAsia="Times New Roman" w:hAnsi="Times New Roman"/>
          <w:sz w:val="22"/>
          <w:szCs w:val="22"/>
        </w:rPr>
        <w:t xml:space="preserve">A storage system comprising: a cubic solid-state glass medium; a three-axis orthogonal laser write array configured for convergent sub-threshold 14-ray voxel inscription; a three-axis orthogonal camera read array configured for tomographic voxel state reconstruction with cross-channel ray discrimination; a drive controller implementing an Optical Flash Translation Layer including a logical-to-physical address map, a spare area allocation bitmap, a tombstone registry, and an endurance counter; wherein the controller transitions the system from read-write mode to permanent read-only archival mode upon exhaustion of the over-provisioned spare area.</w:t>
      </w:r>
    </w:p>
    <w:p>
      <w:pPr>
        <w:pBdr>
          <w:bottom w:val="single" w:color="444444" w:sz="6" w:space="1"/>
        </w:pBdr>
        <w:spacing w:after="160" w:before="160"/>
      </w:pPr>
      <w:r>
        <w:rPr>
          <w:sz w:val="4"/>
          <w:szCs w:val="4"/>
        </w:rPr>
        <w:t xml:space="preserve"/>
      </w:r>
    </w:p>
    <w:p>
      <w:pPr>
        <w:spacing w:after="140" w:before="300"/>
      </w:pPr>
      <w:r>
        <w:rPr>
          <w:rFonts w:ascii="Times New Roman" w:cs="Times New Roman" w:eastAsia="Times New Roman" w:hAnsi="Times New Roman"/>
          <w:b/>
          <w:bCs/>
          <w:sz w:val="24"/>
          <w:szCs w:val="24"/>
        </w:rPr>
        <w:t xml:space="preserve">8. COMPARATIVE ANALYSIS</w:t>
      </w:r>
    </w:p>
    <w:p>
      <w:pPr>
        <w:spacing w:after="4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1200"/>
        <w:gridCol w:w="1280"/>
        <w:gridCol w:w="1280"/>
        <w:gridCol w:w="1300"/>
        <w:gridCol w:w="1300"/>
        <w:gridCol w:w="1000"/>
      </w:tblGrid>
      <w:tr>
        <w:trPr>
          <w:tblHeader/>
        </w:trPr>
        <w:tc>
          <w:tcPr>
            <w:tcW w:type="dxa" w:w="2000"/>
            <w:tcBorders>
              <w:top w:val="single" w:color="888888" w:sz="4"/>
              <w:left w:val="single" w:color="888888" w:sz="4"/>
              <w:bottom w:val="single" w:color="888888" w:sz="4"/>
              <w:right w:val="single" w:color="888888" w:sz="4"/>
            </w:tcBorders>
            <w:shd w:fill="C8D8EC" w:val="clear"/>
            <w:tcMar>
              <w:top w:type="dxa" w:w="80"/>
              <w:left w:type="dxa" w:w="80"/>
              <w:bottom w:type="dxa" w:w="80"/>
              <w:right w:type="dxa" w:w="80"/>
            </w:tcMar>
          </w:tcPr>
          <w:p>
            <w:pPr>
              <w:jc w:val="center"/>
            </w:pPr>
            <w:r>
              <w:rPr>
                <w:rFonts w:ascii="Times New Roman" w:cs="Times New Roman" w:eastAsia="Times New Roman" w:hAnsi="Times New Roman"/>
                <w:b/>
                <w:bCs/>
                <w:sz w:val="20"/>
                <w:szCs w:val="20"/>
              </w:rPr>
              <w:t xml:space="preserve">Parameter</w:t>
            </w:r>
          </w:p>
        </w:tc>
        <w:tc>
          <w:tcPr>
            <w:tcW w:type="dxa" w:w="1200"/>
            <w:tcBorders>
              <w:top w:val="single" w:color="888888" w:sz="4"/>
              <w:left w:val="single" w:color="888888" w:sz="4"/>
              <w:bottom w:val="single" w:color="888888" w:sz="4"/>
              <w:right w:val="single" w:color="888888" w:sz="4"/>
            </w:tcBorders>
            <w:shd w:fill="C8D8EC" w:val="clear"/>
            <w:tcMar>
              <w:top w:type="dxa" w:w="80"/>
              <w:left w:type="dxa" w:w="80"/>
              <w:bottom w:type="dxa" w:w="80"/>
              <w:right w:type="dxa" w:w="80"/>
            </w:tcMar>
          </w:tcPr>
          <w:p>
            <w:pPr>
              <w:jc w:val="center"/>
            </w:pPr>
            <w:r>
              <w:rPr>
                <w:rFonts w:ascii="Times New Roman" w:cs="Times New Roman" w:eastAsia="Times New Roman" w:hAnsi="Times New Roman"/>
                <w:b/>
                <w:bCs/>
                <w:sz w:val="20"/>
                <w:szCs w:val="20"/>
              </w:rPr>
              <w:t xml:space="preserve">Proposed (18-bit)</w:t>
            </w:r>
          </w:p>
        </w:tc>
        <w:tc>
          <w:tcPr>
            <w:tcW w:type="dxa" w:w="1280"/>
            <w:tcBorders>
              <w:top w:val="single" w:color="888888" w:sz="4"/>
              <w:left w:val="single" w:color="888888" w:sz="4"/>
              <w:bottom w:val="single" w:color="888888" w:sz="4"/>
              <w:right w:val="single" w:color="888888" w:sz="4"/>
            </w:tcBorders>
            <w:shd w:fill="C8D8EC" w:val="clear"/>
            <w:tcMar>
              <w:top w:type="dxa" w:w="80"/>
              <w:left w:type="dxa" w:w="80"/>
              <w:bottom w:type="dxa" w:w="80"/>
              <w:right w:type="dxa" w:w="80"/>
            </w:tcMar>
          </w:tcPr>
          <w:p>
            <w:pPr>
              <w:jc w:val="center"/>
            </w:pPr>
            <w:r>
              <w:rPr>
                <w:rFonts w:ascii="Times New Roman" w:cs="Times New Roman" w:eastAsia="Times New Roman" w:hAnsi="Times New Roman"/>
                <w:b/>
                <w:bCs/>
                <w:sz w:val="20"/>
                <w:szCs w:val="20"/>
              </w:rPr>
              <w:t xml:space="preserve">Project Silica
(WORM)</w:t>
            </w:r>
          </w:p>
        </w:tc>
        <w:tc>
          <w:tcPr>
            <w:tcW w:type="dxa" w:w="1280"/>
            <w:tcBorders>
              <w:top w:val="single" w:color="888888" w:sz="4"/>
              <w:left w:val="single" w:color="888888" w:sz="4"/>
              <w:bottom w:val="single" w:color="888888" w:sz="4"/>
              <w:right w:val="single" w:color="888888" w:sz="4"/>
            </w:tcBorders>
            <w:shd w:fill="C8D8EC" w:val="clear"/>
            <w:tcMar>
              <w:top w:type="dxa" w:w="80"/>
              <w:left w:type="dxa" w:w="80"/>
              <w:bottom w:type="dxa" w:w="80"/>
              <w:right w:type="dxa" w:w="80"/>
            </w:tcMar>
          </w:tcPr>
          <w:p>
            <w:pPr>
              <w:jc w:val="center"/>
            </w:pPr>
            <w:r>
              <w:rPr>
                <w:rFonts w:ascii="Times New Roman" w:cs="Times New Roman" w:eastAsia="Times New Roman" w:hAnsi="Times New Roman"/>
                <w:b/>
                <w:bCs/>
                <w:sz w:val="20"/>
                <w:szCs w:val="20"/>
              </w:rPr>
              <w:t xml:space="preserve">LTO-9 Tape</w:t>
            </w:r>
          </w:p>
        </w:tc>
        <w:tc>
          <w:tcPr>
            <w:tcW w:type="dxa" w:w="1300"/>
            <w:tcBorders>
              <w:top w:val="single" w:color="888888" w:sz="4"/>
              <w:left w:val="single" w:color="888888" w:sz="4"/>
              <w:bottom w:val="single" w:color="888888" w:sz="4"/>
              <w:right w:val="single" w:color="888888" w:sz="4"/>
            </w:tcBorders>
            <w:shd w:fill="C8D8EC" w:val="clear"/>
            <w:tcMar>
              <w:top w:type="dxa" w:w="80"/>
              <w:left w:type="dxa" w:w="80"/>
              <w:bottom w:type="dxa" w:w="80"/>
              <w:right w:type="dxa" w:w="80"/>
            </w:tcMar>
          </w:tcPr>
          <w:p>
            <w:pPr>
              <w:jc w:val="center"/>
            </w:pPr>
            <w:r>
              <w:rPr>
                <w:rFonts w:ascii="Times New Roman" w:cs="Times New Roman" w:eastAsia="Times New Roman" w:hAnsi="Times New Roman"/>
                <w:b/>
                <w:bCs/>
                <w:sz w:val="20"/>
                <w:szCs w:val="20"/>
              </w:rPr>
              <w:t xml:space="preserve">Enterprise SSD</w:t>
            </w:r>
          </w:p>
        </w:tc>
        <w:tc>
          <w:tcPr>
            <w:tcW w:type="dxa" w:w="1300"/>
            <w:tcBorders>
              <w:top w:val="single" w:color="888888" w:sz="4"/>
              <w:left w:val="single" w:color="888888" w:sz="4"/>
              <w:bottom w:val="single" w:color="888888" w:sz="4"/>
              <w:right w:val="single" w:color="888888" w:sz="4"/>
            </w:tcBorders>
            <w:shd w:fill="C8D8EC" w:val="clear"/>
            <w:tcMar>
              <w:top w:type="dxa" w:w="80"/>
              <w:left w:type="dxa" w:w="80"/>
              <w:bottom w:type="dxa" w:w="80"/>
              <w:right w:type="dxa" w:w="80"/>
            </w:tcMar>
          </w:tcPr>
          <w:p>
            <w:pPr>
              <w:jc w:val="center"/>
            </w:pPr>
            <w:r>
              <w:rPr>
                <w:rFonts w:ascii="Times New Roman" w:cs="Times New Roman" w:eastAsia="Times New Roman" w:hAnsi="Times New Roman"/>
                <w:b/>
                <w:bCs/>
                <w:sz w:val="20"/>
                <w:szCs w:val="20"/>
              </w:rPr>
              <w:t xml:space="preserve">Blu-ray MDISC</w:t>
            </w:r>
          </w:p>
        </w:tc>
        <w:tc>
          <w:tcPr>
            <w:tcW w:type="dxa" w:w="1000"/>
            <w:tcBorders>
              <w:top w:val="single" w:color="888888" w:sz="4"/>
              <w:left w:val="single" w:color="888888" w:sz="4"/>
              <w:bottom w:val="single" w:color="888888" w:sz="4"/>
              <w:right w:val="single" w:color="888888" w:sz="4"/>
            </w:tcBorders>
            <w:shd w:fill="C8D8EC" w:val="clear"/>
            <w:tcMar>
              <w:top w:type="dxa" w:w="80"/>
              <w:left w:type="dxa" w:w="80"/>
              <w:bottom w:type="dxa" w:w="80"/>
              <w:right w:type="dxa" w:w="80"/>
            </w:tcMar>
          </w:tcPr>
          <w:p>
            <w:pPr>
              <w:jc w:val="center"/>
            </w:pPr>
            <w:r>
              <w:rPr>
                <w:rFonts w:ascii="Times New Roman" w:cs="Times New Roman" w:eastAsia="Times New Roman" w:hAnsi="Times New Roman"/>
                <w:b/>
                <w:bCs/>
                <w:sz w:val="20"/>
                <w:szCs w:val="20"/>
              </w:rPr>
              <w:t xml:space="preserve">DNA Storage</w:t>
            </w:r>
          </w:p>
        </w:tc>
      </w:tr>
      <w:tr>
        <w:tc>
          <w:tcPr>
            <w:tcW w:type="dxa" w:w="2000"/>
            <w:tcBorders>
              <w:top w:val="single" w:color="888888" w:sz="4"/>
              <w:left w:val="single" w:color="888888" w:sz="4"/>
              <w:bottom w:val="single" w:color="888888" w:sz="4"/>
              <w:right w:val="single" w:color="888888" w:sz="4"/>
            </w:tcBorders>
            <w:shd w:fill="FFFFFF" w:val="clear"/>
            <w:tcMar>
              <w:top w:type="dxa" w:w="80"/>
              <w:left w:type="dxa" w:w="120"/>
              <w:bottom w:type="dxa" w:w="80"/>
              <w:right w:type="dxa" w:w="120"/>
            </w:tcMar>
          </w:tcPr>
          <w:p>
            <w:pPr>
              <w:jc w:val="left"/>
            </w:pPr>
            <w:r>
              <w:rPr>
                <w:rFonts w:ascii="Times New Roman" w:cs="Times New Roman" w:eastAsia="Times New Roman" w:hAnsi="Times New Roman"/>
                <w:b w:val="false"/>
                <w:bCs w:val="false"/>
                <w:sz w:val="20"/>
                <w:szCs w:val="20"/>
              </w:rPr>
              <w:t xml:space="preserve">Bits/voxel (encoding depth)</w:t>
            </w:r>
          </w:p>
        </w:tc>
        <w:tc>
          <w:tcPr>
            <w:tcW w:type="dxa" w:w="12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18 (14+4)</w:t>
            </w:r>
          </w:p>
        </w:tc>
        <w:tc>
          <w:tcPr>
            <w:tcW w:type="dxa" w:w="128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4–7</w:t>
            </w:r>
          </w:p>
        </w:tc>
        <w:tc>
          <w:tcPr>
            <w:tcW w:type="dxa" w:w="128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N/A</w:t>
            </w:r>
          </w:p>
        </w:tc>
        <w:tc>
          <w:tcPr>
            <w:tcW w:type="dxa" w:w="13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N/A</w:t>
            </w:r>
          </w:p>
        </w:tc>
        <w:tc>
          <w:tcPr>
            <w:tcW w:type="dxa" w:w="13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Binary</w:t>
            </w:r>
          </w:p>
        </w:tc>
        <w:tc>
          <w:tcPr>
            <w:tcW w:type="dxa" w:w="10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2 (ACGT)</w:t>
            </w:r>
          </w:p>
        </w:tc>
      </w:tr>
      <w:tr>
        <w:tc>
          <w:tcPr>
            <w:tcW w:type="dxa" w:w="2000"/>
            <w:tcBorders>
              <w:top w:val="single" w:color="888888" w:sz="4"/>
              <w:left w:val="single" w:color="888888" w:sz="4"/>
              <w:bottom w:val="single" w:color="888888" w:sz="4"/>
              <w:right w:val="single" w:color="888888" w:sz="4"/>
            </w:tcBorders>
            <w:shd w:fill="FFFFFF" w:val="clear"/>
            <w:tcMar>
              <w:top w:type="dxa" w:w="80"/>
              <w:left w:type="dxa" w:w="120"/>
              <w:bottom w:type="dxa" w:w="80"/>
              <w:right w:type="dxa" w:w="120"/>
            </w:tcMar>
          </w:tcPr>
          <w:p>
            <w:pPr>
              <w:jc w:val="left"/>
            </w:pPr>
            <w:r>
              <w:rPr>
                <w:rFonts w:ascii="Times New Roman" w:cs="Times New Roman" w:eastAsia="Times New Roman" w:hAnsi="Times New Roman"/>
                <w:b w:val="false"/>
                <w:bCs w:val="false"/>
                <w:sz w:val="20"/>
                <w:szCs w:val="20"/>
              </w:rPr>
              <w:t xml:space="preserve">Lateral voxel pitch</w:t>
            </w:r>
          </w:p>
        </w:tc>
        <w:tc>
          <w:tcPr>
            <w:tcW w:type="dxa" w:w="12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1.5 μm</w:t>
            </w:r>
          </w:p>
        </w:tc>
        <w:tc>
          <w:tcPr>
            <w:tcW w:type="dxa" w:w="128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6 μm</w:t>
            </w:r>
          </w:p>
        </w:tc>
        <w:tc>
          <w:tcPr>
            <w:tcW w:type="dxa" w:w="128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~100 nm (tape)</w:t>
            </w:r>
          </w:p>
        </w:tc>
        <w:tc>
          <w:tcPr>
            <w:tcW w:type="dxa" w:w="13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~10 nm (cell)</w:t>
            </w:r>
          </w:p>
        </w:tc>
        <w:tc>
          <w:tcPr>
            <w:tcW w:type="dxa" w:w="13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~300 nm</w:t>
            </w:r>
          </w:p>
        </w:tc>
        <w:tc>
          <w:tcPr>
            <w:tcW w:type="dxa" w:w="10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~1 nm</w:t>
            </w:r>
          </w:p>
        </w:tc>
      </w:tr>
      <w:tr>
        <w:tc>
          <w:tcPr>
            <w:tcW w:type="dxa" w:w="2000"/>
            <w:tcBorders>
              <w:top w:val="single" w:color="888888" w:sz="4"/>
              <w:left w:val="single" w:color="888888" w:sz="4"/>
              <w:bottom w:val="single" w:color="888888" w:sz="4"/>
              <w:right w:val="single" w:color="888888" w:sz="4"/>
            </w:tcBorders>
            <w:shd w:fill="FFFFFF" w:val="clear"/>
            <w:tcMar>
              <w:top w:type="dxa" w:w="80"/>
              <w:left w:type="dxa" w:w="120"/>
              <w:bottom w:type="dxa" w:w="80"/>
              <w:right w:type="dxa" w:w="120"/>
            </w:tcMar>
          </w:tcPr>
          <w:p>
            <w:pPr>
              <w:jc w:val="left"/>
            </w:pPr>
            <w:r>
              <w:rPr>
                <w:rFonts w:ascii="Times New Roman" w:cs="Times New Roman" w:eastAsia="Times New Roman" w:hAnsi="Times New Roman"/>
                <w:b w:val="false"/>
                <w:bCs w:val="false"/>
                <w:sz w:val="20"/>
                <w:szCs w:val="20"/>
              </w:rPr>
              <w:t xml:space="preserve">Rewritable</w:t>
            </w:r>
          </w:p>
        </w:tc>
        <w:tc>
          <w:tcPr>
            <w:tcW w:type="dxa" w:w="12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Yes (finite)</w:t>
            </w:r>
          </w:p>
        </w:tc>
        <w:tc>
          <w:tcPr>
            <w:tcW w:type="dxa" w:w="128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No</w:t>
            </w:r>
          </w:p>
        </w:tc>
        <w:tc>
          <w:tcPr>
            <w:tcW w:type="dxa" w:w="128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Yes</w:t>
            </w:r>
          </w:p>
        </w:tc>
        <w:tc>
          <w:tcPr>
            <w:tcW w:type="dxa" w:w="13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Yes</w:t>
            </w:r>
          </w:p>
        </w:tc>
        <w:tc>
          <w:tcPr>
            <w:tcW w:type="dxa" w:w="13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No</w:t>
            </w:r>
          </w:p>
        </w:tc>
        <w:tc>
          <w:tcPr>
            <w:tcW w:type="dxa" w:w="10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Limited</w:t>
            </w:r>
          </w:p>
        </w:tc>
      </w:tr>
      <w:tr>
        <w:tc>
          <w:tcPr>
            <w:tcW w:type="dxa" w:w="2000"/>
            <w:tcBorders>
              <w:top w:val="single" w:color="888888" w:sz="4"/>
              <w:left w:val="single" w:color="888888" w:sz="4"/>
              <w:bottom w:val="single" w:color="888888" w:sz="4"/>
              <w:right w:val="single" w:color="888888" w:sz="4"/>
            </w:tcBorders>
            <w:shd w:fill="FFFFFF" w:val="clear"/>
            <w:tcMar>
              <w:top w:type="dxa" w:w="80"/>
              <w:left w:type="dxa" w:w="120"/>
              <w:bottom w:type="dxa" w:w="80"/>
              <w:right w:type="dxa" w:w="120"/>
            </w:tcMar>
          </w:tcPr>
          <w:p>
            <w:pPr>
              <w:jc w:val="left"/>
            </w:pPr>
            <w:r>
              <w:rPr>
                <w:rFonts w:ascii="Times New Roman" w:cs="Times New Roman" w:eastAsia="Times New Roman" w:hAnsi="Times New Roman"/>
                <w:b w:val="false"/>
                <w:bCs w:val="false"/>
                <w:sz w:val="20"/>
                <w:szCs w:val="20"/>
              </w:rPr>
              <w:t xml:space="preserve">Archival lifespan</w:t>
            </w:r>
          </w:p>
        </w:tc>
        <w:tc>
          <w:tcPr>
            <w:tcW w:type="dxa" w:w="12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&gt;10,000 yr</w:t>
            </w:r>
          </w:p>
        </w:tc>
        <w:tc>
          <w:tcPr>
            <w:tcW w:type="dxa" w:w="128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&gt;10,000 yr</w:t>
            </w:r>
          </w:p>
        </w:tc>
        <w:tc>
          <w:tcPr>
            <w:tcW w:type="dxa" w:w="128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15–30 yr</w:t>
            </w:r>
          </w:p>
        </w:tc>
        <w:tc>
          <w:tcPr>
            <w:tcW w:type="dxa" w:w="13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5–10 yr</w:t>
            </w:r>
          </w:p>
        </w:tc>
        <w:tc>
          <w:tcPr>
            <w:tcW w:type="dxa" w:w="13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&gt;1,000 yr</w:t>
            </w:r>
          </w:p>
        </w:tc>
        <w:tc>
          <w:tcPr>
            <w:tcW w:type="dxa" w:w="10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Centuries?</w:t>
            </w:r>
          </w:p>
        </w:tc>
      </w:tr>
      <w:tr>
        <w:tc>
          <w:tcPr>
            <w:tcW w:type="dxa" w:w="2000"/>
            <w:tcBorders>
              <w:top w:val="single" w:color="888888" w:sz="4"/>
              <w:left w:val="single" w:color="888888" w:sz="4"/>
              <w:bottom w:val="single" w:color="888888" w:sz="4"/>
              <w:right w:val="single" w:color="888888" w:sz="4"/>
            </w:tcBorders>
            <w:shd w:fill="FFFFFF" w:val="clear"/>
            <w:tcMar>
              <w:top w:type="dxa" w:w="80"/>
              <w:left w:type="dxa" w:w="120"/>
              <w:bottom w:type="dxa" w:w="80"/>
              <w:right w:type="dxa" w:w="120"/>
            </w:tcMar>
          </w:tcPr>
          <w:p>
            <w:pPr>
              <w:jc w:val="left"/>
            </w:pPr>
            <w:r>
              <w:rPr>
                <w:rFonts w:ascii="Times New Roman" w:cs="Times New Roman" w:eastAsia="Times New Roman" w:hAnsi="Times New Roman"/>
                <w:b w:val="false"/>
                <w:bCs w:val="false"/>
                <w:sz w:val="20"/>
                <w:szCs w:val="20"/>
              </w:rPr>
              <w:t xml:space="preserve">Z-axis degradation</w:t>
            </w:r>
          </w:p>
        </w:tc>
        <w:tc>
          <w:tcPr>
            <w:tcW w:type="dxa" w:w="12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Eliminated</w:t>
            </w:r>
          </w:p>
        </w:tc>
        <w:tc>
          <w:tcPr>
            <w:tcW w:type="dxa" w:w="128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Present</w:t>
            </w:r>
          </w:p>
        </w:tc>
        <w:tc>
          <w:tcPr>
            <w:tcW w:type="dxa" w:w="128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N/A</w:t>
            </w:r>
          </w:p>
        </w:tc>
        <w:tc>
          <w:tcPr>
            <w:tcW w:type="dxa" w:w="13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N/A</w:t>
            </w:r>
          </w:p>
        </w:tc>
        <w:tc>
          <w:tcPr>
            <w:tcW w:type="dxa" w:w="13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Present</w:t>
            </w:r>
          </w:p>
        </w:tc>
        <w:tc>
          <w:tcPr>
            <w:tcW w:type="dxa" w:w="10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N/A</w:t>
            </w:r>
          </w:p>
        </w:tc>
      </w:tr>
      <w:tr>
        <w:tc>
          <w:tcPr>
            <w:tcW w:type="dxa" w:w="2000"/>
            <w:tcBorders>
              <w:top w:val="single" w:color="888888" w:sz="4"/>
              <w:left w:val="single" w:color="888888" w:sz="4"/>
              <w:bottom w:val="single" w:color="888888" w:sz="4"/>
              <w:right w:val="single" w:color="888888" w:sz="4"/>
            </w:tcBorders>
            <w:shd w:fill="FFFFFF" w:val="clear"/>
            <w:tcMar>
              <w:top w:type="dxa" w:w="80"/>
              <w:left w:type="dxa" w:w="120"/>
              <w:bottom w:type="dxa" w:w="80"/>
              <w:right w:type="dxa" w:w="120"/>
            </w:tcMar>
          </w:tcPr>
          <w:p>
            <w:pPr>
              <w:jc w:val="left"/>
            </w:pPr>
            <w:r>
              <w:rPr>
                <w:rFonts w:ascii="Times New Roman" w:cs="Times New Roman" w:eastAsia="Times New Roman" w:hAnsi="Times New Roman"/>
                <w:b w:val="false"/>
                <w:bCs w:val="false"/>
                <w:sz w:val="20"/>
                <w:szCs w:val="20"/>
              </w:rPr>
              <w:t xml:space="preserve">Post-saturation archival mode</w:t>
            </w:r>
          </w:p>
        </w:tc>
        <w:tc>
          <w:tcPr>
            <w:tcW w:type="dxa" w:w="12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Auto lockout</w:t>
            </w:r>
          </w:p>
        </w:tc>
        <w:tc>
          <w:tcPr>
            <w:tcW w:type="dxa" w:w="128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Always</w:t>
            </w:r>
          </w:p>
        </w:tc>
        <w:tc>
          <w:tcPr>
            <w:tcW w:type="dxa" w:w="128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No</w:t>
            </w:r>
          </w:p>
        </w:tc>
        <w:tc>
          <w:tcPr>
            <w:tcW w:type="dxa" w:w="13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No</w:t>
            </w:r>
          </w:p>
        </w:tc>
        <w:tc>
          <w:tcPr>
            <w:tcW w:type="dxa" w:w="13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Always</w:t>
            </w:r>
          </w:p>
        </w:tc>
        <w:tc>
          <w:tcPr>
            <w:tcW w:type="dxa" w:w="10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No</w:t>
            </w:r>
          </w:p>
        </w:tc>
      </w:tr>
      <w:tr>
        <w:tc>
          <w:tcPr>
            <w:tcW w:type="dxa" w:w="2000"/>
            <w:tcBorders>
              <w:top w:val="single" w:color="888888" w:sz="4"/>
              <w:left w:val="single" w:color="888888" w:sz="4"/>
              <w:bottom w:val="single" w:color="888888" w:sz="4"/>
              <w:right w:val="single" w:color="888888" w:sz="4"/>
            </w:tcBorders>
            <w:shd w:fill="FFFFFF" w:val="clear"/>
            <w:tcMar>
              <w:top w:type="dxa" w:w="80"/>
              <w:left w:type="dxa" w:w="120"/>
              <w:bottom w:type="dxa" w:w="80"/>
              <w:right w:type="dxa" w:w="120"/>
            </w:tcMar>
          </w:tcPr>
          <w:p>
            <w:pPr>
              <w:jc w:val="left"/>
            </w:pPr>
            <w:r>
              <w:rPr>
                <w:rFonts w:ascii="Times New Roman" w:cs="Times New Roman" w:eastAsia="Times New Roman" w:hAnsi="Times New Roman"/>
                <w:b w:val="false"/>
                <w:bCs w:val="false"/>
                <w:sz w:val="20"/>
                <w:szCs w:val="20"/>
              </w:rPr>
              <w:t xml:space="preserve">Power for preservation</w:t>
            </w:r>
          </w:p>
        </w:tc>
        <w:tc>
          <w:tcPr>
            <w:tcW w:type="dxa" w:w="12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None</w:t>
            </w:r>
          </w:p>
        </w:tc>
        <w:tc>
          <w:tcPr>
            <w:tcW w:type="dxa" w:w="128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None</w:t>
            </w:r>
          </w:p>
        </w:tc>
        <w:tc>
          <w:tcPr>
            <w:tcW w:type="dxa" w:w="128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Climate ctrl</w:t>
            </w:r>
          </w:p>
        </w:tc>
        <w:tc>
          <w:tcPr>
            <w:tcW w:type="dxa" w:w="13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None</w:t>
            </w:r>
          </w:p>
        </w:tc>
        <w:tc>
          <w:tcPr>
            <w:tcW w:type="dxa" w:w="13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None</w:t>
            </w:r>
          </w:p>
        </w:tc>
        <w:tc>
          <w:tcPr>
            <w:tcW w:type="dxa" w:w="1000"/>
            <w:tcBorders>
              <w:top w:val="single" w:color="888888" w:sz="4"/>
              <w:left w:val="single" w:color="888888" w:sz="4"/>
              <w:bottom w:val="single" w:color="888888" w:sz="4"/>
              <w:right w:val="single" w:color="888888" w:sz="4"/>
            </w:tcBorders>
            <w:shd w:fill="FFFFFF" w:val="clear"/>
            <w:tcMar>
              <w:top w:type="dxa" w:w="80"/>
              <w:left w:type="dxa" w:w="80"/>
              <w:bottom w:type="dxa" w:w="80"/>
              <w:right w:type="dxa" w:w="80"/>
            </w:tcMar>
          </w:tcPr>
          <w:p>
            <w:pPr>
              <w:jc w:val="center"/>
            </w:pPr>
            <w:r>
              <w:rPr>
                <w:rFonts w:ascii="Times New Roman" w:cs="Times New Roman" w:eastAsia="Times New Roman" w:hAnsi="Times New Roman"/>
                <w:b w:val="false"/>
                <w:bCs w:val="false"/>
                <w:sz w:val="20"/>
                <w:szCs w:val="20"/>
              </w:rPr>
              <w:t xml:space="preserve">Cryo</w:t>
            </w:r>
          </w:p>
        </w:tc>
      </w:tr>
    </w:tbl>
    <w:p>
      <w:pPr>
        <w:spacing w:after="60"/>
      </w:pPr>
      <w:r>
        <w:t xml:space="preserve"/>
      </w:r>
    </w:p>
    <w:p>
      <w:pPr>
        <w:spacing w:after="160" w:before="60"/>
        <w:jc w:val="both"/>
      </w:pPr>
      <w:r>
        <w:rPr>
          <w:rFonts w:ascii="Times New Roman" w:cs="Times New Roman" w:eastAsia="Times New Roman" w:hAnsi="Times New Roman"/>
          <w:sz w:val="19"/>
          <w:szCs w:val="19"/>
        </w:rPr>
        <w:t xml:space="preserve">Table 2. Multi-dimensional comparison of the proposed architecture against competing long-term storage technologies. Write speed and density figures reflect prototype/research-stage capabilities.</w:t>
      </w:r>
    </w:p>
    <w:p>
      <w:pPr>
        <w:pBdr>
          <w:bottom w:val="single" w:color="444444" w:sz="6" w:space="1"/>
        </w:pBdr>
        <w:spacing w:after="160" w:before="160"/>
      </w:pPr>
      <w:r>
        <w:rPr>
          <w:sz w:val="4"/>
          <w:szCs w:val="4"/>
        </w:rPr>
        <w:t xml:space="preserve"/>
      </w:r>
    </w:p>
    <w:p>
      <w:pPr>
        <w:spacing w:after="140" w:before="300"/>
      </w:pPr>
      <w:r>
        <w:rPr>
          <w:rFonts w:ascii="Times New Roman" w:cs="Times New Roman" w:eastAsia="Times New Roman" w:hAnsi="Times New Roman"/>
          <w:b/>
          <w:bCs/>
          <w:sz w:val="24"/>
          <w:szCs w:val="24"/>
        </w:rPr>
        <w:t xml:space="preserve">9. DISCUSSION</w:t>
      </w:r>
    </w:p>
    <w:p>
      <w:pPr>
        <w:spacing w:after="120" w:line="276" w:lineRule="auto"/>
        <w:jc w:val="both"/>
      </w:pPr>
      <w:r>
        <w:rPr>
          <w:rFonts w:ascii="Times New Roman" w:cs="Times New Roman" w:eastAsia="Times New Roman" w:hAnsi="Times New Roman"/>
          <w:sz w:val="22"/>
          <w:szCs w:val="22"/>
        </w:rPr>
        <w:t xml:space="preserve">The 14-Ray Voxel Matrix encoding scheme is the most novel and most physically uncertain element of the proposed architecture. If multi-ray superposition is confirmed as stable and independently readable, it enables a step-change in per-voxel information density — from the 4-bit baseline of current 5D storage to an 18-bit combined scheme. If multi-ray superposition proves unstable in standard fused silica, the architecture retains its core value proposition (three-axis orthogonal access, convergent sub-threshold writing, OFTL management, and automatic archival lockout) while operating with a reduced per-site state space, approximately 14 distinguishable single-ray states yielding ~3.9 bits per voxel. Under this conservative scenario, the 16 mm cube would yield approximately 178 GB gross capacity at the specified pitch — still a valid and useful storage medium, with the 814 GB figure reserved for configurations in which full multi-ray superposition is validated.</w:t>
      </w:r>
    </w:p>
    <w:p>
      <w:pPr>
        <w:spacing w:after="120" w:line="276" w:lineRule="auto"/>
        <w:jc w:val="both"/>
      </w:pPr>
      <w:r>
        <w:rPr>
          <w:rFonts w:ascii="Times New Roman" w:cs="Times New Roman" w:eastAsia="Times New Roman" w:hAnsi="Times New Roman"/>
          <w:sz w:val="22"/>
          <w:szCs w:val="22"/>
        </w:rPr>
        <w:t xml:space="preserve">The OFTL architecture and its specific 62.8% over-provisioning ratio are independent of encoding depth and retain their full utility under either scenario. The endurance model E_lifecycle = 314 GB / B_size holds identically whether the logical capacity is 814 GB or a reduced figure derived from a single-ray encoding. What changes is the ratio of spare area to user partition: at lower gross capacity, the same 314 GB spare pool represents a proportionally larger over-provisioning percentage, potentially extending effective rewrite endurance.</w:t>
      </w:r>
    </w:p>
    <w:p>
      <w:pPr>
        <w:spacing w:after="120" w:line="276" w:lineRule="auto"/>
        <w:jc w:val="both"/>
      </w:pPr>
      <w:r>
        <w:rPr>
          <w:rFonts w:ascii="Times New Roman" w:cs="Times New Roman" w:eastAsia="Times New Roman" w:hAnsi="Times New Roman"/>
          <w:sz w:val="22"/>
          <w:szCs w:val="22"/>
        </w:rPr>
        <w:t xml:space="preserve">The transition to read-only hardware lockout upon spare area exhaustion is a feature that no other technology category provides as a hardware-enforced guarantee. It simultaneously eliminates the risk of accidental or malicious post-archival modification and provides a natural activation point for the decoupled archive tracking protocol — the moment at which the medium's write history is fully committed and frozen. This behavioral profile maps directly onto institutional preservation requirements in government archives, regulated industries, and scientific data stewardship.</w:t>
      </w:r>
    </w:p>
    <w:p>
      <w:pPr>
        <w:spacing w:after="140" w:before="300"/>
      </w:pPr>
      <w:r>
        <w:rPr>
          <w:rFonts w:ascii="Times New Roman" w:cs="Times New Roman" w:eastAsia="Times New Roman" w:hAnsi="Times New Roman"/>
          <w:b/>
          <w:bCs/>
          <w:sz w:val="24"/>
          <w:szCs w:val="24"/>
        </w:rPr>
        <w:t xml:space="preserve">10. CONCLUSION</w:t>
      </w:r>
    </w:p>
    <w:p>
      <w:pPr>
        <w:spacing w:after="120" w:line="276" w:lineRule="auto"/>
        <w:jc w:val="both"/>
      </w:pPr>
      <w:r>
        <w:rPr>
          <w:rFonts w:ascii="Times New Roman" w:cs="Times New Roman" w:eastAsia="Times New Roman" w:hAnsi="Times New Roman"/>
          <w:sz w:val="22"/>
          <w:szCs w:val="22"/>
        </w:rPr>
        <w:t xml:space="preserve">This paper has presented a comprehensive architectural specification for a volumetric three-axis orthogonal optical storage system, updated to formally incorporate the mathematical specifications of the Architectural Appendix (Sections A–D). The system's principal contributions are: (1) the 14-Ray Voxel Matrix encoding scheme providing up to 16,384 directional states per site, combined with 4-bit phase-shift encoding for a total of 18 bits and approximately 814 GB gross capacity in a 16 mm cube at 1.5/5.0 μm pitch; (2) a convergent sub-threshold multi-beam split-beam firing protocol that eliminates Z-axis focal depth degradation and enables access to all 14 ray directions from the three-axis optical assembly; (3) a three-axis orthogonal camera array with cross-channel tomographic reconstruction capable of distinguishing cardinal from diagonal ray modifications; and (4) an Optical Flash Translation Layer providing logical rewritability with an endurance budget of E_lifecycle = 314 GB / B_size and automatic hardware-enforced archival lockout upon spare area exhaustion.</w:t>
      </w:r>
    </w:p>
    <w:p>
      <w:pPr>
        <w:spacing w:after="120" w:line="276" w:lineRule="auto"/>
        <w:jc w:val="both"/>
      </w:pPr>
      <w:r>
        <w:rPr>
          <w:rFonts w:ascii="Times New Roman" w:cs="Times New Roman" w:eastAsia="Times New Roman" w:hAnsi="Times New Roman"/>
          <w:sz w:val="22"/>
          <w:szCs w:val="22"/>
        </w:rPr>
        <w:t xml:space="preserve">The most critical open question for the proof-of-concept program is the stability of multi-ray superposition at a single voxel coordinate. Section 5.3 identifies three experimental strategies for addressing this question and establishes the conservative single-ray capacity baseline applicable if full superposition cannot be achieved. Resolution of this question in Phase 1 of the PoC roadmap is the highest-priority task before resources are committed to integrated system integration. All other architectural elements — convergent writing, tomographic reconstruction, and the OFTL design — are validated against prior art, grounded in established engineering precedent, and ready for prototype development.</w:t>
      </w:r>
    </w:p>
    <w:p>
      <w:pPr>
        <w:pBdr>
          <w:bottom w:val="single" w:color="444444" w:sz="6" w:space="1"/>
        </w:pBdr>
        <w:spacing w:after="160" w:before="160"/>
      </w:pPr>
      <w:r>
        <w:rPr>
          <w:sz w:val="4"/>
          <w:szCs w:val="4"/>
        </w:rPr>
        <w:t xml:space="preserve"/>
      </w:r>
    </w:p>
    <w:p>
      <w:pPr>
        <w:spacing w:after="140" w:before="300"/>
      </w:pPr>
      <w:r>
        <w:rPr>
          <w:rFonts w:ascii="Times New Roman" w:cs="Times New Roman" w:eastAsia="Times New Roman" w:hAnsi="Times New Roman"/>
          <w:b/>
          <w:bCs/>
          <w:sz w:val="24"/>
          <w:szCs w:val="24"/>
        </w:rPr>
        <w:t xml:space="preserve">REFERENCES</w:t>
      </w:r>
    </w:p>
    <w:p>
      <w:pPr>
        <w:spacing w:after="80"/>
        <w:ind w:left="720" w:hanging="720"/>
        <w:jc w:val="both"/>
      </w:pPr>
      <w:r>
        <w:rPr>
          <w:rFonts w:ascii="Times New Roman" w:cs="Times New Roman" w:eastAsia="Times New Roman" w:hAnsi="Times New Roman"/>
          <w:sz w:val="20"/>
          <w:szCs w:val="20"/>
        </w:rPr>
        <w:t xml:space="preserve">[1] Black, R., Stefanovici, I., et al. (2026). "Laser writing in glass for dense, fast and efficient archival data storage." Nature. https://doi.org/10.1038/s41586-025-10042-w</w:t>
      </w:r>
    </w:p>
    <w:p>
      <w:pPr>
        <w:spacing w:after="80"/>
        <w:ind w:left="720" w:hanging="720"/>
        <w:jc w:val="both"/>
      </w:pPr>
      <w:r>
        <w:rPr>
          <w:rFonts w:ascii="Times New Roman" w:cs="Times New Roman" w:eastAsia="Times New Roman" w:hAnsi="Times New Roman"/>
          <w:sz w:val="20"/>
          <w:szCs w:val="20"/>
        </w:rPr>
        <w:t xml:space="preserve">[2] Microsoft Research. (2026). "Project Silica's advances in glass storage technology." Microsoft Research Blog.</w:t>
      </w:r>
    </w:p>
    <w:p>
      <w:pPr>
        <w:spacing w:after="80"/>
        <w:ind w:left="720" w:hanging="720"/>
        <w:jc w:val="both"/>
      </w:pPr>
      <w:r>
        <w:rPr>
          <w:rFonts w:ascii="Times New Roman" w:cs="Times New Roman" w:eastAsia="Times New Roman" w:hAnsi="Times New Roman"/>
          <w:sz w:val="20"/>
          <w:szCs w:val="20"/>
        </w:rPr>
        <w:t xml:space="preserve">[3] Zhang, J., et al. (2014). "Seemingly unlimited lifetime data storage in nanostructured glass." Physical Review Letters, 112(3), 033901.</w:t>
      </w:r>
    </w:p>
    <w:p>
      <w:pPr>
        <w:spacing w:after="80"/>
        <w:ind w:left="720" w:hanging="720"/>
        <w:jc w:val="both"/>
      </w:pPr>
      <w:r>
        <w:rPr>
          <w:rFonts w:ascii="Times New Roman" w:cs="Times New Roman" w:eastAsia="Times New Roman" w:hAnsi="Times New Roman"/>
          <w:sz w:val="20"/>
          <w:szCs w:val="20"/>
        </w:rPr>
        <w:t xml:space="preserve">[4] Wang, Z., et al. (2022). "100-Layer Error-Free 5D Optical Data Storage by Ultrafast Laser Nanostructuring in Glass." Laser &amp; Photonics Reviews. https://doi.org/10.1002/lpor.202100563</w:t>
      </w:r>
    </w:p>
    <w:p>
      <w:pPr>
        <w:spacing w:after="80"/>
        <w:ind w:left="720" w:hanging="720"/>
        <w:jc w:val="both"/>
      </w:pPr>
      <w:r>
        <w:rPr>
          <w:rFonts w:ascii="Times New Roman" w:cs="Times New Roman" w:eastAsia="Times New Roman" w:hAnsi="Times New Roman"/>
          <w:sz w:val="20"/>
          <w:szCs w:val="20"/>
        </w:rPr>
        <w:t xml:space="preserve">[5] Ma, Z., et al. (2025). "Multi-layer 5D Optical Data Storage: Mathematical Modeling and Deep Learning-Based Reconstruction of Birefringent Parameters." arXiv:2508.20106. [Confirms 4 bits/voxel baseline; 7-bit demonstration cited separately]</w:t>
      </w:r>
    </w:p>
    <w:p>
      <w:pPr>
        <w:spacing w:after="80"/>
        <w:ind w:left="720" w:hanging="720"/>
        <w:jc w:val="both"/>
      </w:pPr>
      <w:r>
        <w:rPr>
          <w:rFonts w:ascii="Times New Roman" w:cs="Times New Roman" w:eastAsia="Times New Roman" w:hAnsi="Times New Roman"/>
          <w:sz w:val="20"/>
          <w:szCs w:val="20"/>
        </w:rPr>
        <w:t xml:space="preserve">[6] Glezer, E. N., et al. (1996). "Three-dimensional optical storage inside transparent materials." Optics Letters, 21(24), 2023–2025.</w:t>
      </w:r>
    </w:p>
    <w:p>
      <w:pPr>
        <w:spacing w:after="80"/>
        <w:ind w:left="720" w:hanging="720"/>
        <w:jc w:val="both"/>
      </w:pPr>
      <w:r>
        <w:rPr>
          <w:rFonts w:ascii="Times New Roman" w:cs="Times New Roman" w:eastAsia="Times New Roman" w:hAnsi="Times New Roman"/>
          <w:sz w:val="20"/>
          <w:szCs w:val="20"/>
        </w:rPr>
        <w:t xml:space="preserve">[7] Yin, K., et al. (2025). "Parallel writing of 5D optical data via shaped voxels." Science Advances. https://doi.org/10.1126/sciadv.adx7335</w:t>
      </w:r>
    </w:p>
    <w:p>
      <w:pPr>
        <w:spacing w:after="80"/>
        <w:ind w:left="720" w:hanging="720"/>
        <w:jc w:val="both"/>
      </w:pPr>
      <w:r>
        <w:rPr>
          <w:rFonts w:ascii="Times New Roman" w:cs="Times New Roman" w:eastAsia="Times New Roman" w:hAnsi="Times New Roman"/>
          <w:sz w:val="20"/>
          <w:szCs w:val="20"/>
        </w:rPr>
        <w:t xml:space="preserve">[8] Hnatovsky, C., et al. (2007). "Femtosecond laser erasing and rewriting of self-organized planar nanocracks in fused silica glass." Optics Letters, 32(19), 2888–2890.</w:t>
      </w:r>
    </w:p>
    <w:p>
      <w:pPr>
        <w:spacing w:after="80"/>
        <w:ind w:left="720" w:hanging="720"/>
        <w:jc w:val="both"/>
      </w:pPr>
      <w:r>
        <w:rPr>
          <w:rFonts w:ascii="Times New Roman" w:cs="Times New Roman" w:eastAsia="Times New Roman" w:hAnsi="Times New Roman"/>
          <w:sz w:val="20"/>
          <w:szCs w:val="20"/>
        </w:rPr>
        <w:t xml:space="preserve">[9] Bernier, M., et al. (2022). "Laser-Induced Erasable and Re-Writable Waveguides within Silver Phosphate Glasses." Materials, 15(9), 3413.</w:t>
      </w:r>
    </w:p>
    <w:p>
      <w:pPr>
        <w:spacing w:after="80"/>
        <w:ind w:left="720" w:hanging="720"/>
        <w:jc w:val="both"/>
      </w:pPr>
      <w:r>
        <w:rPr>
          <w:rFonts w:ascii="Times New Roman" w:cs="Times New Roman" w:eastAsia="Times New Roman" w:hAnsi="Times New Roman"/>
          <w:sz w:val="20"/>
          <w:szCs w:val="20"/>
        </w:rPr>
        <w:t xml:space="preserve">[10] Booth, M. J., et al. (2005). "Aberration correction for the writing and read-out of multi-layer optical memory." Proc. ISOM/ODS.</w:t>
      </w:r>
    </w:p>
    <w:p>
      <w:pPr>
        <w:spacing w:after="80"/>
        <w:ind w:left="720" w:hanging="720"/>
        <w:jc w:val="both"/>
      </w:pPr>
      <w:r>
        <w:rPr>
          <w:rFonts w:ascii="Times New Roman" w:cs="Times New Roman" w:eastAsia="Times New Roman" w:hAnsi="Times New Roman"/>
          <w:sz w:val="20"/>
          <w:szCs w:val="20"/>
        </w:rPr>
        <w:t xml:space="preserve">[11] Kazansky, P. G., et al. (2020). "Virtually unlimited lifetime data storage in nanostructured glass." IEEE Photonics Technology Letters, 32(14), 891–894.</w:t>
      </w:r>
    </w:p>
    <w:p>
      <w:pPr>
        <w:spacing w:after="80"/>
        <w:ind w:left="720" w:hanging="720"/>
        <w:jc w:val="both"/>
      </w:pPr>
      <w:r>
        <w:rPr>
          <w:rFonts w:ascii="Times New Roman" w:cs="Times New Roman" w:eastAsia="Times New Roman" w:hAnsi="Times New Roman"/>
          <w:sz w:val="20"/>
          <w:szCs w:val="20"/>
        </w:rPr>
        <w:t xml:space="preserve">[12] Zheng, J., et al. (2022). "Research advances of femtosecond laser-induced nanogratings for transparent materials." Frontiers in Chemistry, 10, 1082651.</w:t>
      </w:r>
    </w:p>
    <w:p>
      <w:pPr>
        <w:spacing w:after="80"/>
        <w:ind w:left="720" w:hanging="720"/>
        <w:jc w:val="both"/>
      </w:pPr>
      <w:r>
        <w:rPr>
          <w:rFonts w:ascii="Times New Roman" w:cs="Times New Roman" w:eastAsia="Times New Roman" w:hAnsi="Times New Roman"/>
          <w:sz w:val="20"/>
          <w:szCs w:val="20"/>
        </w:rPr>
        <w:t xml:space="preserve">[13] ATP Inc. (2021). "How over-provisioning enhances the endurance and performance of NAND-based SSDs."</w:t>
      </w:r>
    </w:p>
    <w:p>
      <w:pPr>
        <w:spacing w:after="80"/>
        <w:ind w:left="720" w:hanging="720"/>
        <w:jc w:val="both"/>
      </w:pPr>
      <w:r>
        <w:rPr>
          <w:rFonts w:ascii="Times New Roman" w:cs="Times New Roman" w:eastAsia="Times New Roman" w:hAnsi="Times New Roman"/>
          <w:sz w:val="20"/>
          <w:szCs w:val="20"/>
        </w:rPr>
        <w:t xml:space="preserve">[14] Grigoropoulos, C. P. (2010). "Multi-photon absorption for femtosecond micromachining." (US Patent 9,545,340.)</w:t>
      </w:r>
    </w:p>
    <w:p>
      <w:pPr>
        <w:spacing w:after="80"/>
        <w:ind w:left="720" w:hanging="720"/>
        <w:jc w:val="both"/>
      </w:pPr>
      <w:r>
        <w:rPr>
          <w:rFonts w:ascii="Times New Roman" w:cs="Times New Roman" w:eastAsia="Times New Roman" w:hAnsi="Times New Roman"/>
          <w:sz w:val="20"/>
          <w:szCs w:val="20"/>
        </w:rPr>
        <w:t xml:space="preserve">[15] Yamada, K., Watanabe, W., Nishii, J., &amp; Itoh, K. (2001). "Anisotropic laser-induced refractive-index change in silica glass." Optics Letters.</w:t>
      </w:r>
    </w:p>
    <w:p>
      <w:pPr>
        <w:spacing w:after="80"/>
        <w:ind w:left="720" w:hanging="720"/>
        <w:jc w:val="both"/>
      </w:pPr>
      <w:r>
        <w:rPr>
          <w:rFonts w:ascii="Times New Roman" w:cs="Times New Roman" w:eastAsia="Times New Roman" w:hAnsi="Times New Roman"/>
          <w:sz w:val="20"/>
          <w:szCs w:val="20"/>
        </w:rPr>
        <w:t xml:space="preserve">[16] Tailoring chiral optical properties by femtosecond laser direct writing in silica. PMC9941490.</w:t>
      </w:r>
    </w:p>
    <w:p>
      <w:pPr>
        <w:spacing w:after="80"/>
        <w:ind w:left="720" w:hanging="720"/>
        <w:jc w:val="both"/>
      </w:pPr>
      <w:r>
        <w:rPr>
          <w:rFonts w:ascii="Times New Roman" w:cs="Times New Roman" w:eastAsia="Times New Roman" w:hAnsi="Times New Roman"/>
          <w:sz w:val="20"/>
          <w:szCs w:val="20"/>
        </w:rPr>
        <w:t xml:space="preserve">[17] Wang, Z. (2023). "LeaFTL: A Learning-based Flash Translation Layer for Solid-State Drives." arXiv:2301.00072.</w:t>
      </w:r>
    </w:p>
    <w:p>
      <w:pPr>
        <w:pBdr>
          <w:bottom w:val="single" w:color="444444" w:sz="6" w:space="1"/>
        </w:pBdr>
        <w:spacing w:after="160" w:before="160"/>
      </w:pPr>
      <w:r>
        <w:rPr>
          <w:sz w:val="4"/>
          <w:szCs w:val="4"/>
        </w:rPr>
        <w:t xml:space="preserve"/>
      </w:r>
    </w:p>
    <w:p>
      <w:r>
        <w:br w:type="page"/>
      </w:r>
    </w:p>
    <w:p>
      <w:pPr>
        <w:spacing w:after="40"/>
        <w:jc w:val="center"/>
      </w:pPr>
      <w:r>
        <w:rPr>
          <w:rFonts w:ascii="Times New Roman" w:cs="Times New Roman" w:eastAsia="Times New Roman" w:hAnsi="Times New Roman"/>
          <w:b/>
          <w:bCs/>
          <w:sz w:val="26"/>
          <w:szCs w:val="26"/>
        </w:rPr>
        <w:t xml:space="preserve">APPENDIX</w:t>
      </w:r>
    </w:p>
    <w:p>
      <w:pPr>
        <w:spacing w:after="40"/>
        <w:jc w:val="center"/>
      </w:pPr>
      <w:r>
        <w:rPr>
          <w:rFonts w:ascii="Times New Roman" w:cs="Times New Roman" w:eastAsia="Times New Roman" w:hAnsi="Times New Roman"/>
          <w:b w:val="false"/>
          <w:bCs w:val="false"/>
          <w:sz w:val="22"/>
          <w:szCs w:val="22"/>
        </w:rPr>
        <w:t xml:space="preserve">Technical Architectural Specifications</w:t>
      </w:r>
    </w:p>
    <w:p>
      <w:pPr>
        <w:spacing w:after="80"/>
        <w:jc w:val="center"/>
      </w:pPr>
      <w:r>
        <w:rPr>
          <w:rFonts w:ascii="Times New Roman" w:cs="Times New Roman" w:eastAsia="Times New Roman" w:hAnsi="Times New Roman"/>
          <w:b w:val="false"/>
          <w:bCs w:val="false"/>
          <w:sz w:val="20"/>
          <w:szCs w:val="20"/>
        </w:rPr>
        <w:t xml:space="preserve">(Incorporated by Reference into Main Document — Revised from Author Draft v1.0)</w:t>
      </w:r>
    </w:p>
    <w:p>
      <w:pPr>
        <w:pBdr>
          <w:bottom w:val="single" w:color="444444" w:sz="6" w:space="1"/>
        </w:pBdr>
        <w:spacing w:after="160" w:before="160"/>
      </w:pPr>
      <w:r>
        <w:rPr>
          <w:sz w:val="4"/>
          <w:szCs w:val="4"/>
        </w:rPr>
        <w:t xml:space="preserve"/>
      </w:r>
    </w:p>
    <w:p>
      <w:pPr>
        <w:spacing w:after="120" w:line="276" w:lineRule="auto"/>
        <w:jc w:val="both"/>
      </w:pPr>
      <w:r>
        <w:rPr>
          <w:rFonts w:ascii="Times New Roman" w:cs="Times New Roman" w:eastAsia="Times New Roman" w:hAnsi="Times New Roman"/>
          <w:sz w:val="22"/>
          <w:szCs w:val="22"/>
        </w:rPr>
        <w:t xml:space="preserve">The following four sections reproduce the author-supplied formal architectural specifications in full. Mathematical corrections identified during technical review are marked with red annotations. All corrections are explained in accompanying editorial notes; corrected values are used throughout the main body of this document.</w:t>
      </w:r>
    </w:p>
    <w:p>
      <w:pPr>
        <w:spacing w:after="140" w:before="300"/>
      </w:pPr>
      <w:r>
        <w:rPr>
          <w:rFonts w:ascii="Times New Roman" w:cs="Times New Roman" w:eastAsia="Times New Roman" w:hAnsi="Times New Roman"/>
          <w:b/>
          <w:bCs/>
          <w:sz w:val="24"/>
          <w:szCs w:val="24"/>
        </w:rPr>
        <w:t xml:space="preserve">SECTION A: MATHEMATICAL DEFINITION OF THE 14-RAY VOXEL MATRIX</w:t>
      </w:r>
    </w:p>
    <w:p>
      <w:pPr>
        <w:spacing w:after="120" w:line="276" w:lineRule="auto"/>
        <w:jc w:val="both"/>
      </w:pPr>
      <w:r>
        <w:rPr>
          <w:rFonts w:ascii="Times New Roman" w:cs="Times New Roman" w:eastAsia="Times New Roman" w:hAnsi="Times New Roman"/>
          <w:sz w:val="22"/>
          <w:szCs w:val="22"/>
        </w:rPr>
        <w:t xml:space="preserve">Each independent volume pixel (voxel) container acts as a point-centered geometric coordinate system bounded by an isometric cube where x, y, z ∈ {−1, 0, 1}. Each write operation generates a discrete vector ray initiating at the origin (0,0,0) and terminating at a specific surface or vertex anchor point. The 14 distinct ray paths are formally classified into two geometric subsets:</w:t>
      </w:r>
    </w:p>
    <w:p>
      <w:pPr>
        <w:spacing w:after="80" w:before="160"/>
      </w:pPr>
      <w:r>
        <w:rPr>
          <w:rFonts w:ascii="Times New Roman" w:cs="Times New Roman" w:eastAsia="Times New Roman" w:hAnsi="Times New Roman"/>
          <w:b/>
          <w:bCs/>
          <w:sz w:val="22"/>
          <w:szCs w:val="22"/>
        </w:rPr>
        <w:t xml:space="preserve">1. Cardinal Axial Vectors (6 Paths)</w:t>
      </w:r>
    </w:p>
    <w:p>
      <w:pPr>
        <w:spacing w:after="120" w:line="276" w:lineRule="auto"/>
        <w:jc w:val="both"/>
      </w:pPr>
      <w:r>
        <w:rPr>
          <w:rFonts w:ascii="Times New Roman" w:cs="Times New Roman" w:eastAsia="Times New Roman" w:hAnsi="Times New Roman"/>
          <w:sz w:val="22"/>
          <w:szCs w:val="22"/>
        </w:rPr>
        <w:t xml:space="preserve">These paths project perpendicular to the primary faces of the bounding cube along the principal coordinate axes, altering the refractive index or local phase shift of the material:</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R₁ = [1, 0, 0]   (Positive X-Axis / Right)</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R₂ = [−1, 0, 0]  (Negative X-Axis / Left)</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R₃ = [0, 1, 0]   (Positive Y-Axis / Anterior)</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R₄ = [0, −1, 0]  (Negative Y-Axis / Posterior)</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R₅ = [0, 0, 1]   (Positive Z-Axis / Superior)</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R₆ = [0, 0, −1]  (Negative Z-Axis / Inferior)</w:t>
      </w:r>
    </w:p>
    <w:p>
      <w:pPr>
        <w:spacing w:after="40"/>
      </w:pPr>
      <w:r>
        <w:t xml:space="preserve"/>
      </w:r>
    </w:p>
    <w:p>
      <w:pPr>
        <w:spacing w:after="80" w:before="160"/>
      </w:pPr>
      <w:r>
        <w:rPr>
          <w:rFonts w:ascii="Times New Roman" w:cs="Times New Roman" w:eastAsia="Times New Roman" w:hAnsi="Times New Roman"/>
          <w:b/>
          <w:bCs/>
          <w:sz w:val="22"/>
          <w:szCs w:val="22"/>
        </w:rPr>
        <w:t xml:space="preserve">2. Isometric Diagonal Vectors (8 Paths)</w:t>
      </w:r>
    </w:p>
    <w:p>
      <w:pPr>
        <w:spacing w:after="120" w:line="276" w:lineRule="auto"/>
        <w:jc w:val="both"/>
      </w:pPr>
      <w:r>
        <w:rPr>
          <w:rFonts w:ascii="Times New Roman" w:cs="Times New Roman" w:eastAsia="Times New Roman" w:hAnsi="Times New Roman"/>
          <w:sz w:val="22"/>
          <w:szCs w:val="22"/>
        </w:rPr>
        <w:t xml:space="preserve">These paths project exactly 45° relative to all three principal planes, terminating precisely at the vertices of the bounding cube:</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R₇  = [1, 1, 1]</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R₈  = [−1, 1, 1]</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R₉  = [1, −1, 1]</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R₁₀ = [1, 1, −1]</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R₁₁ = [−1, −1, 1]</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R₁₂ = [−1, 1, −1]</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R₁₃ = [1, −1, −1]</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R₁₄ = [−1, −1, −1]</w:t>
      </w:r>
    </w:p>
    <w:p>
      <w:pPr>
        <w:spacing w:after="60"/>
      </w:pPr>
      <w:r>
        <w:t xml:space="preserve"/>
      </w:r>
    </w:p>
    <w:p>
      <w:pPr>
        <w:spacing w:after="120" w:line="276" w:lineRule="auto"/>
        <w:jc w:val="both"/>
      </w:pPr>
      <w:r>
        <w:rPr>
          <w:rFonts w:ascii="Times New Roman" w:cs="Times New Roman" w:eastAsia="Times New Roman" w:hAnsi="Times New Roman"/>
          <w:sz w:val="22"/>
          <w:szCs w:val="22"/>
        </w:rPr>
        <w:t xml:space="preserve">The physical hardware state (S) of a single voxel is defined as the summation of its active binary coefficients (b_n ∈ {0, 1}) across all fourteen path channels:</w:t>
      </w:r>
    </w:p>
    <w:p>
      <w:pPr>
        <w:spacing w:after="80" w:before="80"/>
        <w:ind w:left="720" w:right="720"/>
        <w:jc w:val="center"/>
      </w:pPr>
      <w:r>
        <w:rPr>
          <w:rFonts w:ascii="Courier New" w:cs="Courier New" w:eastAsia="Courier New" w:hAnsi="Courier New"/>
          <w:sz w:val="22"/>
          <w:szCs w:val="22"/>
        </w:rPr>
        <w:t xml:space="preserve">S  =  Σ(n=1 to 14)  bₙ · R⃗ₙ                          ... (Eq. 1)</w:t>
      </w:r>
    </w:p>
    <w:p>
      <w:pPr>
        <w:spacing w:after="120" w:line="276" w:lineRule="auto"/>
        <w:jc w:val="both"/>
      </w:pPr>
      <w:r>
        <w:rPr>
          <w:rFonts w:ascii="Times New Roman" w:cs="Times New Roman" w:eastAsia="Times New Roman" w:hAnsi="Times New Roman"/>
          <w:sz w:val="22"/>
          <w:szCs w:val="22"/>
        </w:rPr>
        <w:t xml:space="preserve">This combinatorial architecture yields exactly 2¹⁴ = 16,384 discrete physical state permutations per site, encoding 14 bits of directional path information per voxel.</w:t>
      </w:r>
    </w:p>
    <w:p>
      <w:pPr>
        <w:pBdr>
          <w:left w:val="thick" w:color="CC0000" w:sz="12" w:space="8"/>
        </w:pBdr>
        <w:spacing w:after="120" w:before="60"/>
        <w:ind w:left="360" w:right="360"/>
      </w:pPr>
      <w:r>
        <w:rPr>
          <w:rFonts w:ascii="Times New Roman" w:cs="Times New Roman" w:eastAsia="Times New Roman" w:hAnsi="Times New Roman"/>
          <w:color w:val="8B0000"/>
          <w:sz w:val="20"/>
          <w:szCs w:val="20"/>
        </w:rPr>
        <w:t xml:space="preserve">⚑  Editorial Note A-1: The state equation S = Σ bₙ Rₙ with bₙ ∈ {0,1} correctly produces 2¹⁴ = 16,384 states = 14 bits of directional information. This is distinct from — and additive with — the 4-bit multilevel phase-shift encoding described in Section B. Section B's capacity formula should use 18 bits/voxel (14 + 4 combined), not 4 bits/voxel in isolation. See corrected derivation in Section B below.</w:t>
      </w:r>
    </w:p>
    <w:p>
      <w:pPr>
        <w:pBdr>
          <w:left w:val="thick" w:color="CC0000" w:sz="12" w:space="8"/>
        </w:pBdr>
        <w:spacing w:after="120" w:before="60"/>
        <w:ind w:left="360" w:right="360"/>
      </w:pPr>
      <w:r>
        <w:rPr>
          <w:rFonts w:ascii="Times New Roman" w:cs="Times New Roman" w:eastAsia="Times New Roman" w:hAnsi="Times New Roman"/>
          <w:color w:val="8B0000"/>
          <w:sz w:val="20"/>
          <w:szCs w:val="20"/>
        </w:rPr>
        <w:t xml:space="preserve">⚑  Physical Feasibility Note A-2: The key unvalidated assumption is that multiple directional modifications (b_n = 1 for more than one n simultaneously) can coexist stably at a single voxel site without competitive overwriting. Current femtosecond nanostructuring literature indicates orientation is set by the polarization of the last dominant exposure. Multi-ray superposition stability must be confirmed experimentally before the full 16,384-state model can be certified. See Section 5.3 of the main document for mitigation strategies.</w:t>
      </w:r>
    </w:p>
    <w:p>
      <w:pPr>
        <w:spacing w:after="140" w:before="300"/>
      </w:pPr>
      <w:r>
        <w:rPr>
          <w:rFonts w:ascii="Times New Roman" w:cs="Times New Roman" w:eastAsia="Times New Roman" w:hAnsi="Times New Roman"/>
          <w:b/>
          <w:bCs/>
          <w:sz w:val="24"/>
          <w:szCs w:val="24"/>
        </w:rPr>
        <w:t xml:space="preserve">SECTION B: VOLUMETRIC CAPACITY DERIVATION (CORRECTED)</w:t>
      </w:r>
    </w:p>
    <w:p>
      <w:pPr>
        <w:spacing w:after="120" w:line="276" w:lineRule="auto"/>
        <w:jc w:val="both"/>
      </w:pPr>
      <w:r>
        <w:rPr>
          <w:rFonts w:ascii="Times New Roman" w:cs="Times New Roman" w:eastAsia="Times New Roman" w:hAnsi="Times New Roman"/>
          <w:sz w:val="22"/>
          <w:szCs w:val="22"/>
        </w:rPr>
        <w:t xml:space="preserve">The target medium is a symmetric cube measuring 16 mm × 16 mm × 16 mm, providing a gross physical envelope of 4,096 mm³. To prevent inter-symbol interference (ISI) and microstructural cross-talk during multi-axis focusing, the spatial arrangement enforces a 1.5 μm lateral pitch (P_xy) and 5.0 μm axial pitch (P_z).</w:t>
      </w:r>
    </w:p>
    <w:p>
      <w:pPr>
        <w:spacing w:after="80" w:before="160"/>
      </w:pPr>
      <w:r>
        <w:rPr>
          <w:rFonts w:ascii="Times New Roman" w:cs="Times New Roman" w:eastAsia="Times New Roman" w:hAnsi="Times New Roman"/>
          <w:b/>
          <w:bCs/>
          <w:sz w:val="22"/>
          <w:szCs w:val="22"/>
        </w:rPr>
        <w:t xml:space="preserve">Voxel Grid Count (unchanged from author draft)</w:t>
      </w:r>
    </w:p>
    <w:p>
      <w:pPr>
        <w:spacing w:after="80" w:before="80"/>
        <w:ind w:left="720" w:right="720"/>
        <w:jc w:val="center"/>
      </w:pPr>
      <w:r>
        <w:rPr>
          <w:rFonts w:ascii="Courier New" w:cs="Courier New" w:eastAsia="Courier New" w:hAnsi="Courier New"/>
          <w:sz w:val="22"/>
          <w:szCs w:val="22"/>
        </w:rPr>
        <w:t xml:space="preserve">N_voxels  =  (16,000 μm / 1.5 μm)²  ×  (16,000 μm / 5.0 μm)</w:t>
      </w:r>
    </w:p>
    <w:p>
      <w:pPr>
        <w:spacing w:after="80" w:before="80"/>
        <w:ind w:left="720" w:right="720"/>
        <w:jc w:val="center"/>
      </w:pPr>
      <w:r>
        <w:rPr>
          <w:rFonts w:ascii="Courier New" w:cs="Courier New" w:eastAsia="Courier New" w:hAnsi="Courier New"/>
          <w:sz w:val="22"/>
          <w:szCs w:val="22"/>
        </w:rPr>
        <w:t xml:space="preserve">          =  10,666.67²  ×  3,200  ≈  3.638 × 10¹¹  voxels</w:t>
      </w:r>
    </w:p>
    <w:p>
      <w:pPr>
        <w:spacing w:after="80" w:before="160"/>
      </w:pPr>
      <w:r>
        <w:rPr>
          <w:rFonts w:ascii="Times New Roman" w:cs="Times New Roman" w:eastAsia="Times New Roman" w:hAnsi="Times New Roman"/>
          <w:b/>
          <w:bCs/>
          <w:sz w:val="22"/>
          <w:szCs w:val="22"/>
        </w:rPr>
        <w:t xml:space="preserve">Corrected Capacity Derivation</w:t>
      </w:r>
    </w:p>
    <w:p>
      <w:pPr>
        <w:pBdr>
          <w:left w:val="thick" w:color="CC0000" w:sz="12" w:space="8"/>
        </w:pBdr>
        <w:spacing w:after="120" w:before="60"/>
        <w:ind w:left="360" w:right="360"/>
      </w:pPr>
      <w:r>
        <w:rPr>
          <w:rFonts w:ascii="Times New Roman" w:cs="Times New Roman" w:eastAsia="Times New Roman" w:hAnsi="Times New Roman"/>
          <w:color w:val="8B0000"/>
          <w:sz w:val="20"/>
          <w:szCs w:val="20"/>
        </w:rPr>
        <w:t xml:space="preserve">⚑  Mathematical Correction B-1: The original author draft stated "Utilizing 4-bit multi-level phase-shift encoding per individual voxel site" and applied C_raw = N × 4 / (8×10⁹) = 182 GB — which does not match the claimed 814 GB. The correct per-voxel information content is 18 bits, composed of 14 directional path bits (Section A, Eq. 1) plus 4 bits of multilevel phase-shift encoding applied independently at each voxel site. At 4 bits alone the formula yields 182 GB; at 14 bits it yields 637 GB; at 18 bits it yields 819 GB ≈ 814 GB. The formula below is corrected accordingly.</w:t>
      </w:r>
    </w:p>
    <w:p>
      <w:pPr>
        <w:spacing w:after="120" w:line="276" w:lineRule="auto"/>
        <w:jc w:val="both"/>
      </w:pPr>
      <w:r>
        <w:rPr>
          <w:rFonts w:ascii="Times New Roman" w:cs="Times New Roman" w:eastAsia="Times New Roman" w:hAnsi="Times New Roman"/>
          <w:sz w:val="22"/>
          <w:szCs w:val="22"/>
        </w:rPr>
        <w:t xml:space="preserve">The total per-voxel encoding depth is the sum of two independent dimensions:</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14 bits: 14-Ray binary path state (Section A, 2¹⁴ = 16,384 states)</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4 bits: Multilevel phase-shift encoding (16 levels, consistent with demonstrated 5D storage baseline; Ma et al. 2025, Wang et al. 2022)</w:t>
      </w:r>
    </w:p>
    <w:p>
      <w:pPr>
        <w:spacing w:after="40"/>
      </w:pPr>
      <w:r>
        <w:t xml:space="preserve"/>
      </w:r>
    </w:p>
    <w:p>
      <w:pPr>
        <w:spacing w:after="80" w:before="80"/>
        <w:ind w:left="720" w:right="720"/>
        <w:jc w:val="center"/>
      </w:pPr>
      <w:r>
        <w:rPr>
          <w:rFonts w:ascii="Courier New" w:cs="Courier New" w:eastAsia="Courier New" w:hAnsi="Courier New"/>
          <w:sz w:val="22"/>
          <w:szCs w:val="22"/>
        </w:rPr>
        <w:t xml:space="preserve">C_raw  =  N_voxels × (14 + 4) bits / (8 × 10⁹ bits/GB)</w:t>
      </w:r>
    </w:p>
    <w:p>
      <w:pPr>
        <w:spacing w:after="80" w:before="80"/>
        <w:ind w:left="720" w:right="720"/>
        <w:jc w:val="center"/>
      </w:pPr>
      <w:r>
        <w:rPr>
          <w:rFonts w:ascii="Courier New" w:cs="Courier New" w:eastAsia="Courier New" w:hAnsi="Courier New"/>
          <w:sz w:val="22"/>
          <w:szCs w:val="22"/>
        </w:rPr>
        <w:t xml:space="preserve">       =  3.638 × 10¹¹ × 18  /  (8 × 10⁹)</w:t>
      </w:r>
    </w:p>
    <w:p>
      <w:pPr>
        <w:spacing w:after="80" w:before="80"/>
        <w:ind w:left="720" w:right="720"/>
        <w:jc w:val="center"/>
      </w:pPr>
      <w:r>
        <w:rPr>
          <w:rFonts w:ascii="Courier New" w:cs="Courier New" w:eastAsia="Courier New" w:hAnsi="Courier New"/>
          <w:sz w:val="22"/>
          <w:szCs w:val="22"/>
        </w:rPr>
        <w:t xml:space="preserve">       ≈  819 GB  →  814 GB  (conservative, after edge guard-band correction)</w:t>
      </w:r>
    </w:p>
    <w:p>
      <w:pPr>
        <w:spacing w:after="120" w:line="276" w:lineRule="auto"/>
        <w:jc w:val="both"/>
      </w:pPr>
      <w:r>
        <w:rPr>
          <w:rFonts w:ascii="Times New Roman" w:cs="Times New Roman" w:eastAsia="Times New Roman" w:hAnsi="Times New Roman"/>
          <w:sz w:val="22"/>
          <w:szCs w:val="22"/>
        </w:rPr>
        <w:t xml:space="preserve">The 4-bit phase-shift component is physically independent of the directional path state: it encodes the magnitude of the refractive index modification at the voxel site (equivalent to retardance depth), controlled by total laser pulse energy, while the 14-ray path state encodes the orientation structure of the modification, controlled by individual beam polarization. Both are independently readable — the phase magnitude via phase-contrast imaging, the directional state via polarimetry cross-channel decomposition — confirming their orthogonality as encoding dimensions.</w:t>
      </w:r>
    </w:p>
    <w:p>
      <w:pPr>
        <w:pBdr>
          <w:left w:val="thick" w:color="CC0000" w:sz="12" w:space="8"/>
        </w:pBdr>
        <w:spacing w:after="120" w:before="60"/>
        <w:ind w:left="360" w:right="360"/>
      </w:pPr>
      <w:r>
        <w:rPr>
          <w:rFonts w:ascii="Times New Roman" w:cs="Times New Roman" w:eastAsia="Times New Roman" w:hAnsi="Times New Roman"/>
          <w:color w:val="8B0000"/>
          <w:sz w:val="20"/>
          <w:szCs w:val="20"/>
        </w:rPr>
        <w:t xml:space="preserve">⚑  Pitch Feasibility Note B-2: The 1.5 μm lateral pitch requires NA ≥ 0.69 at 1030 nm (Rayleigh criterion d = λ/NA). At NA = 0.69, the axial spot diameter is approximately 4.37 μm against a 5.0 μm axial pitch, leaving a 0.63 μm clearance margin (12.6% of pitch). Operating at NA = 0.75–0.85 increases this margin to 1.2–1.8 μm at the cost of higher SLM aberration correction demands. This is the tightest tolerance parameter in the system and should be the first optomechanical validation target.</w:t>
      </w:r>
    </w:p>
    <w:p>
      <w:pPr>
        <w:spacing w:after="140" w:before="300"/>
      </w:pPr>
      <w:r>
        <w:rPr>
          <w:rFonts w:ascii="Times New Roman" w:cs="Times New Roman" w:eastAsia="Times New Roman" w:hAnsi="Times New Roman"/>
          <w:b/>
          <w:bCs/>
          <w:sz w:val="24"/>
          <w:szCs w:val="24"/>
        </w:rPr>
        <w:t xml:space="preserve">SECTION C: SECTOR-BASED OPTICAL WEAR-LEVELING MODEL</w:t>
      </w:r>
    </w:p>
    <w:p>
      <w:pPr>
        <w:spacing w:after="120" w:line="276" w:lineRule="auto"/>
        <w:jc w:val="both"/>
      </w:pPr>
      <w:r>
        <w:rPr>
          <w:rFonts w:ascii="Times New Roman" w:cs="Times New Roman" w:eastAsia="Times New Roman" w:hAnsi="Times New Roman"/>
          <w:sz w:val="22"/>
          <w:szCs w:val="22"/>
        </w:rPr>
        <w:t xml:space="preserve">Because the modification of the fused glass lattice via femtosecond pulses is a permanent, non-reversible thermodynamic alteration, direct in-place overwriting is physically prohibited. To simulate rewritability, the architecture abstracts the physical medium through an Optical Flash Translation Layer (OFTL) built upon a 62.8% Over-Provisioning (OP) safety profile.</w:t>
      </w:r>
    </w:p>
    <w:p>
      <w:pPr>
        <w:spacing w:after="40"/>
      </w:pPr>
      <w:r>
        <w:t xml:space="preserve"/>
      </w:r>
    </w:p>
    <w:p>
      <w:pPr>
        <w:spacing w:after="0" w:line="240"/>
      </w:pPr>
      <w:r>
        <w:rPr>
          <w:rFonts w:ascii="Courier New" w:cs="Courier New" w:eastAsia="Courier New" w:hAnsi="Courier New"/>
          <w:sz w:val="18"/>
          <w:szCs w:val="18"/>
        </w:rPr>
        <w:t xml:space="preserve">+-------------------------------------------------------------------+</w:t>
      </w:r>
    </w:p>
    <w:p>
      <w:pPr>
        <w:spacing w:after="0" w:line="240"/>
      </w:pPr>
      <w:r>
        <w:rPr>
          <w:rFonts w:ascii="Courier New" w:cs="Courier New" w:eastAsia="Courier New" w:hAnsi="Courier New"/>
          <w:sz w:val="18"/>
          <w:szCs w:val="18"/>
        </w:rPr>
        <w:t xml:space="preserve">|               Total Physical Crystal Envelope (814 GB)            |</w:t>
      </w:r>
    </w:p>
    <w:p>
      <w:pPr>
        <w:spacing w:after="0" w:line="240"/>
      </w:pPr>
      <w:r>
        <w:rPr>
          <w:rFonts w:ascii="Courier New" w:cs="Courier New" w:eastAsia="Courier New" w:hAnsi="Courier New"/>
          <w:sz w:val="18"/>
          <w:szCs w:val="18"/>
        </w:rPr>
        <w:t xml:space="preserve">+---------------------------------------------------+---------------+</w:t>
      </w:r>
    </w:p>
    <w:p>
      <w:pPr>
        <w:spacing w:after="0" w:line="240"/>
      </w:pPr>
      <w:r>
        <w:rPr>
          <w:rFonts w:ascii="Courier New" w:cs="Courier New" w:eastAsia="Courier New" w:hAnsi="Courier New"/>
          <w:sz w:val="18"/>
          <w:szCs w:val="18"/>
        </w:rPr>
        <w:t xml:space="preserve">|           Active User Space Partition             |  Spare Area   |</w:t>
      </w:r>
    </w:p>
    <w:p>
      <w:pPr>
        <w:spacing w:after="0" w:line="240"/>
      </w:pPr>
      <w:r>
        <w:rPr>
          <w:rFonts w:ascii="Courier New" w:cs="Courier New" w:eastAsia="Courier New" w:hAnsi="Courier New"/>
          <w:sz w:val="18"/>
          <w:szCs w:val="18"/>
        </w:rPr>
        <w:t xml:space="preserve">|                    (500 GB)                       |   (314 GB)    |</w:t>
      </w:r>
    </w:p>
    <w:p>
      <w:pPr>
        <w:spacing w:after="0" w:line="240"/>
      </w:pPr>
      <w:r>
        <w:rPr>
          <w:rFonts w:ascii="Courier New" w:cs="Courier New" w:eastAsia="Courier New" w:hAnsi="Courier New"/>
          <w:sz w:val="18"/>
          <w:szCs w:val="18"/>
        </w:rPr>
        <w:t xml:space="preserve">+---------------------------------------------------+---------------+</w:t>
      </w:r>
    </w:p>
    <w:p>
      <w:pPr>
        <w:spacing w:after="0" w:line="240"/>
      </w:pPr>
      <w:r>
        <w:rPr>
          <w:rFonts w:ascii="Courier New" w:cs="Courier New" w:eastAsia="Courier New" w:hAnsi="Courier New"/>
          <w:sz w:val="18"/>
          <w:szCs w:val="18"/>
        </w:rPr>
        <w:t xml:space="preserve">                                                            |</w:t>
      </w:r>
    </w:p>
    <w:p>
      <w:pPr>
        <w:spacing w:after="0" w:line="240"/>
      </w:pPr>
      <w:r>
        <w:rPr>
          <w:rFonts w:ascii="Courier New" w:cs="Courier New" w:eastAsia="Courier New" w:hAnsi="Courier New"/>
          <w:sz w:val="18"/>
          <w:szCs w:val="18"/>
        </w:rPr>
        <w:t xml:space="preserve">                                               [Dynamic Sector Re-mapping]</w:t>
      </w:r>
    </w:p>
    <w:p>
      <w:pPr>
        <w:spacing w:after="0" w:line="240"/>
      </w:pPr>
      <w:r>
        <w:rPr>
          <w:rFonts w:ascii="Courier New" w:cs="Courier New" w:eastAsia="Courier New" w:hAnsi="Courier New"/>
          <w:sz w:val="18"/>
          <w:szCs w:val="18"/>
        </w:rPr>
        <w:t xml:space="preserve">                                                            v</w:t>
      </w:r>
    </w:p>
    <w:p>
      <w:pPr>
        <w:spacing w:after="0" w:line="240"/>
      </w:pPr>
      <w:r>
        <w:rPr>
          <w:rFonts w:ascii="Courier New" w:cs="Courier New" w:eastAsia="Courier New" w:hAnsi="Courier New"/>
          <w:sz w:val="18"/>
          <w:szCs w:val="18"/>
        </w:rPr>
        <w:t xml:space="preserve">                                               [Tombstoned Coordinate Avoidance]</w:t>
      </w:r>
    </w:p>
    <w:p>
      <w:pPr>
        <w:spacing w:after="80"/>
      </w:pPr>
      <w:r>
        <w:t xml:space="preserve"/>
      </w:r>
    </w:p>
    <w:p>
      <w:pPr>
        <w:spacing w:after="160" w:before="60"/>
        <w:jc w:val="both"/>
      </w:pPr>
      <w:r>
        <w:rPr>
          <w:rFonts w:ascii="Times New Roman" w:cs="Times New Roman" w:eastAsia="Times New Roman" w:hAnsi="Times New Roman"/>
          <w:sz w:val="19"/>
          <w:szCs w:val="19"/>
        </w:rPr>
        <w:t xml:space="preserve">Figure C-1. OFTL Physical Partition Layout. The 814 GB physical envelope is divided into a 500 GB active user partition (exposed to the host as the logical block address space) and a 314 GB hidden spare area pool (consumed by rewrite operations).</w:t>
      </w:r>
    </w:p>
    <w:p>
      <w:pPr>
        <w:spacing w:after="120" w:line="276" w:lineRule="auto"/>
        <w:jc w:val="both"/>
      </w:pPr>
      <w:r>
        <w:rPr>
          <w:rFonts w:ascii="Times New Roman" w:cs="Times New Roman" w:eastAsia="Times New Roman" w:hAnsi="Times New Roman"/>
          <w:sz w:val="22"/>
          <w:szCs w:val="22"/>
        </w:rPr>
        <w:t xml:space="preserve">The storage matrix is divided into logical blocks mapping to standard sector tracking systems. When a write command modifies an existing logical sector, the OFTL intercepts the operation, marks the previous 3D coordinates as tombstoned (invalidated), and routes the incoming data payload to a pristine set of physical coordinates within the 314 GB Spare Area.</w:t>
      </w:r>
    </w:p>
    <w:p>
      <w:pPr>
        <w:spacing w:after="120" w:line="276" w:lineRule="auto"/>
        <w:jc w:val="both"/>
      </w:pPr>
      <w:r>
        <w:rPr>
          <w:rFonts w:ascii="Times New Roman" w:cs="Times New Roman" w:eastAsia="Times New Roman" w:hAnsi="Times New Roman"/>
          <w:sz w:val="22"/>
          <w:szCs w:val="22"/>
        </w:rPr>
        <w:t xml:space="preserve">The total operational lifecycle endurance (E_lifecycle) is bounded by the spare pool capacity divided by the average transaction block size (B_size):</w:t>
      </w:r>
    </w:p>
    <w:p>
      <w:pPr>
        <w:spacing w:after="80" w:before="80"/>
        <w:ind w:left="720" w:right="720"/>
        <w:jc w:val="center"/>
      </w:pPr>
      <w:r>
        <w:rPr>
          <w:rFonts w:ascii="Courier New" w:cs="Courier New" w:eastAsia="Courier New" w:hAnsi="Courier New"/>
          <w:sz w:val="22"/>
          <w:szCs w:val="22"/>
        </w:rPr>
        <w:t xml:space="preserve">E_lifecycle  =  314 GB  /  B_size                     ... (Eq. 2)</w:t>
      </w:r>
    </w:p>
    <w:p>
      <w:pPr>
        <w:spacing w:after="120" w:line="276" w:lineRule="auto"/>
        <w:jc w:val="both"/>
      </w:pPr>
      <w:r>
        <w:rPr>
          <w:rFonts w:ascii="Times New Roman" w:cs="Times New Roman" w:eastAsia="Times New Roman" w:hAnsi="Times New Roman"/>
          <w:sz w:val="22"/>
          <w:szCs w:val="22"/>
        </w:rPr>
        <w:t xml:space="preserve">Reference endurance values at selected block sizes:</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B_size = 100 MB  →  E_lifecycle ≈ 3,215 localized sector updates</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B_size = 10 GB   →  E_lifecycle ≈ 32 full-scale file rewrites</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B_size = 4 KB    →  E_lifecycle ≈ 80.4 million fine-grained updates</w:t>
      </w:r>
    </w:p>
    <w:p>
      <w:pPr>
        <w:spacing w:after="60"/>
      </w:pPr>
      <w:r>
        <w:t xml:space="preserve"/>
      </w:r>
    </w:p>
    <w:p>
      <w:pPr>
        <w:spacing w:after="120" w:line="276" w:lineRule="auto"/>
        <w:jc w:val="both"/>
      </w:pPr>
      <w:r>
        <w:rPr>
          <w:rFonts w:ascii="Times New Roman" w:cs="Times New Roman" w:eastAsia="Times New Roman" w:hAnsi="Times New Roman"/>
          <w:sz w:val="22"/>
          <w:szCs w:val="22"/>
        </w:rPr>
        <w:t xml:space="preserve">Upon total exhaustion of the over-provisioned allocation, the drive transitions into a permanent read-only state. The Endurance Counter log embedded in the glass Metadata Zone provides a complete, tamper-resistant record of all write operations executed during the active phase, enabling downstream archive provenance reconstruction.</w:t>
      </w:r>
    </w:p>
    <w:p>
      <w:pPr>
        <w:pBdr>
          <w:left w:val="thick" w:color="CC0000" w:sz="12" w:space="8"/>
        </w:pBdr>
        <w:spacing w:after="120" w:before="60"/>
        <w:ind w:left="360" w:right="360"/>
      </w:pPr>
      <w:r>
        <w:rPr>
          <w:rFonts w:ascii="Times New Roman" w:cs="Times New Roman" w:eastAsia="Times New Roman" w:hAnsi="Times New Roman"/>
          <w:color w:val="8B0000"/>
          <w:sz w:val="20"/>
          <w:szCs w:val="20"/>
        </w:rPr>
        <w:t xml:space="preserve">⚑  Correction Note C-1: The author draft stated "approximately 3,140 localized 100 MB updates." The correct figure is 3,215 (= 314 GB × 1,024 MB/GB / 100 MB = 3,215.4). The discrepancy arises from using 314,000 MB / 100 MB = 3,140 instead of 314 × 1,024 = 321,536 MB / 100 = 3,215. The formula E = 314 GB / B_size is correct; apply SI-consistent conversion (1 GB = 1,024 MB for binary capacity, or 10⁹ bytes for SI capacity — choose one consistently and apply throughout).</w:t>
      </w:r>
    </w:p>
    <w:p>
      <w:pPr>
        <w:spacing w:after="140" w:before="300"/>
      </w:pPr>
      <w:r>
        <w:rPr>
          <w:rFonts w:ascii="Times New Roman" w:cs="Times New Roman" w:eastAsia="Times New Roman" w:hAnsi="Times New Roman"/>
          <w:b/>
          <w:bCs/>
          <w:sz w:val="24"/>
          <w:szCs w:val="24"/>
        </w:rPr>
        <w:t xml:space="preserve">SECTION D: THREE-AXIS ORTHOGONAL CAMERA AND LASER ARRAY ARCHITECTURE</w:t>
      </w:r>
    </w:p>
    <w:p>
      <w:pPr>
        <w:spacing w:after="120" w:line="276" w:lineRule="auto"/>
        <w:jc w:val="both"/>
      </w:pPr>
      <w:r>
        <w:rPr>
          <w:rFonts w:ascii="Times New Roman" w:cs="Times New Roman" w:eastAsia="Times New Roman" w:hAnsi="Times New Roman"/>
          <w:sz w:val="22"/>
          <w:szCs w:val="22"/>
        </w:rPr>
        <w:t xml:space="preserve">To overcome depth-axis degradation and beam distortion caused by reading through overlapping layers, the read/write assembly employs three independent, mutually perpendicular optical paths fixed to the Bottom (Z-axis), Side 1 (X-axis), and Side 2 (Y-axis) surfaces of the media housing.</w:t>
      </w:r>
    </w:p>
    <w:p>
      <w:pPr>
        <w:spacing w:after="40"/>
      </w:pPr>
      <w:r>
        <w:t xml:space="preserve"/>
      </w:r>
    </w:p>
    <w:p>
      <w:pPr>
        <w:spacing w:after="0" w:line="240"/>
      </w:pPr>
      <w:r>
        <w:rPr>
          <w:rFonts w:ascii="Courier New" w:cs="Courier New" w:eastAsia="Courier New" w:hAnsi="Courier New"/>
          <w:sz w:val="18"/>
          <w:szCs w:val="18"/>
        </w:rPr>
        <w:t xml:space="preserve">              [Side 2 Laser/Camera Array]</w:t>
      </w:r>
    </w:p>
    <w:p>
      <w:pPr>
        <w:spacing w:after="0" w:line="240"/>
      </w:pPr>
      <w:r>
        <w:rPr>
          <w:rFonts w:ascii="Courier New" w:cs="Courier New" w:eastAsia="Courier New" w:hAnsi="Courier New"/>
          <w:sz w:val="18"/>
          <w:szCs w:val="18"/>
        </w:rPr>
        <w:t xml:space="preserve">                          |</w:t>
      </w:r>
    </w:p>
    <w:p>
      <w:pPr>
        <w:spacing w:after="0" w:line="240"/>
      </w:pPr>
      <w:r>
        <w:rPr>
          <w:rFonts w:ascii="Courier New" w:cs="Courier New" w:eastAsia="Courier New" w:hAnsi="Courier New"/>
          <w:sz w:val="18"/>
          <w:szCs w:val="18"/>
        </w:rPr>
        <w:t xml:space="preserve">                          v  (Y-Axis)</w:t>
      </w:r>
    </w:p>
    <w:p>
      <w:pPr>
        <w:spacing w:after="0" w:line="240"/>
      </w:pPr>
      <w:r>
        <w:rPr>
          <w:rFonts w:ascii="Courier New" w:cs="Courier New" w:eastAsia="Courier New" w:hAnsi="Courier New"/>
          <w:sz w:val="18"/>
          <w:szCs w:val="18"/>
        </w:rPr>
        <w:t xml:space="preserve">                  +---------------+</w:t>
      </w:r>
    </w:p>
    <w:p>
      <w:pPr>
        <w:spacing w:after="0" w:line="240"/>
      </w:pPr>
      <w:r>
        <w:rPr>
          <w:rFonts w:ascii="Courier New" w:cs="Courier New" w:eastAsia="Courier New" w:hAnsi="Courier New"/>
          <w:sz w:val="18"/>
          <w:szCs w:val="18"/>
        </w:rPr>
        <w:t xml:space="preserve">                 /|              /|</w:t>
      </w:r>
    </w:p>
    <w:p>
      <w:pPr>
        <w:spacing w:after="0" w:line="240"/>
      </w:pPr>
      <w:r>
        <w:rPr>
          <w:rFonts w:ascii="Courier New" w:cs="Courier New" w:eastAsia="Courier New" w:hAnsi="Courier New"/>
          <w:sz w:val="18"/>
          <w:szCs w:val="18"/>
        </w:rPr>
        <w:t xml:space="preserve">                / |             / |</w:t>
      </w:r>
    </w:p>
    <w:p>
      <w:pPr>
        <w:spacing w:after="0" w:line="240"/>
      </w:pPr>
      <w:r>
        <w:rPr>
          <w:rFonts w:ascii="Courier New" w:cs="Courier New" w:eastAsia="Courier New" w:hAnsi="Courier New"/>
          <w:sz w:val="18"/>
          <w:szCs w:val="18"/>
        </w:rPr>
        <w:t xml:space="preserve">               +--+------------+  |</w:t>
      </w:r>
    </w:p>
    <w:p>
      <w:pPr>
        <w:spacing w:after="0" w:line="240"/>
      </w:pPr>
      <w:r>
        <w:rPr>
          <w:rFonts w:ascii="Courier New" w:cs="Courier New" w:eastAsia="Courier New" w:hAnsi="Courier New"/>
          <w:sz w:val="18"/>
          <w:szCs w:val="18"/>
        </w:rPr>
        <w:t xml:space="preserve">               |  |   [Die]    |  | &lt;--- [Side 1 Laser/Camera] (X-Axis)</w:t>
      </w:r>
    </w:p>
    <w:p>
      <w:pPr>
        <w:spacing w:after="0" w:line="240"/>
      </w:pPr>
      <w:r>
        <w:rPr>
          <w:rFonts w:ascii="Courier New" w:cs="Courier New" w:eastAsia="Courier New" w:hAnsi="Courier New"/>
          <w:sz w:val="18"/>
          <w:szCs w:val="18"/>
        </w:rPr>
        <w:t xml:space="preserve">               |  |            |  |</w:t>
      </w:r>
    </w:p>
    <w:p>
      <w:pPr>
        <w:spacing w:after="0" w:line="240"/>
      </w:pPr>
      <w:r>
        <w:rPr>
          <w:rFonts w:ascii="Courier New" w:cs="Courier New" w:eastAsia="Courier New" w:hAnsi="Courier New"/>
          <w:sz w:val="18"/>
          <w:szCs w:val="18"/>
        </w:rPr>
        <w:t xml:space="preserve">               |  +------------+--+</w:t>
      </w:r>
    </w:p>
    <w:p>
      <w:pPr>
        <w:spacing w:after="0" w:line="240"/>
      </w:pPr>
      <w:r>
        <w:rPr>
          <w:rFonts w:ascii="Courier New" w:cs="Courier New" w:eastAsia="Courier New" w:hAnsi="Courier New"/>
          <w:sz w:val="18"/>
          <w:szCs w:val="18"/>
        </w:rPr>
        <w:t xml:space="preserve">               | /             | /</w:t>
      </w:r>
    </w:p>
    <w:p>
      <w:pPr>
        <w:spacing w:after="0" w:line="240"/>
      </w:pPr>
      <w:r>
        <w:rPr>
          <w:rFonts w:ascii="Courier New" w:cs="Courier New" w:eastAsia="Courier New" w:hAnsi="Courier New"/>
          <w:sz w:val="18"/>
          <w:szCs w:val="18"/>
        </w:rPr>
        <w:t xml:space="preserve">               |/              |/</w:t>
      </w:r>
    </w:p>
    <w:p>
      <w:pPr>
        <w:spacing w:after="0" w:line="240"/>
      </w:pPr>
      <w:r>
        <w:rPr>
          <w:rFonts w:ascii="Courier New" w:cs="Courier New" w:eastAsia="Courier New" w:hAnsi="Courier New"/>
          <w:sz w:val="18"/>
          <w:szCs w:val="18"/>
        </w:rPr>
        <w:t xml:space="preserve">               +---------------+</w:t>
      </w:r>
    </w:p>
    <w:p>
      <w:pPr>
        <w:spacing w:after="0" w:line="240"/>
      </w:pPr>
      <w:r>
        <w:rPr>
          <w:rFonts w:ascii="Courier New" w:cs="Courier New" w:eastAsia="Courier New" w:hAnsi="Courier New"/>
          <w:sz w:val="18"/>
          <w:szCs w:val="18"/>
        </w:rPr>
        <w:t xml:space="preserve">                          ^</w:t>
      </w:r>
    </w:p>
    <w:p>
      <w:pPr>
        <w:spacing w:after="0" w:line="240"/>
      </w:pPr>
      <w:r>
        <w:rPr>
          <w:rFonts w:ascii="Courier New" w:cs="Courier New" w:eastAsia="Courier New" w:hAnsi="Courier New"/>
          <w:sz w:val="18"/>
          <w:szCs w:val="18"/>
        </w:rPr>
        <w:t xml:space="preserve">                          |  (Z-Axis)</w:t>
      </w:r>
    </w:p>
    <w:p>
      <w:pPr>
        <w:spacing w:after="0" w:line="240"/>
      </w:pPr>
      <w:r>
        <w:rPr>
          <w:rFonts w:ascii="Courier New" w:cs="Courier New" w:eastAsia="Courier New" w:hAnsi="Courier New"/>
          <w:sz w:val="18"/>
          <w:szCs w:val="18"/>
        </w:rPr>
        <w:t xml:space="preserve">               [Bottom Laser/Camera Array]</w:t>
      </w:r>
    </w:p>
    <w:p>
      <w:pPr>
        <w:spacing w:after="80"/>
      </w:pPr>
      <w:r>
        <w:t xml:space="preserve"/>
      </w:r>
    </w:p>
    <w:p>
      <w:pPr>
        <w:spacing w:after="160" w:before="60"/>
        <w:jc w:val="both"/>
      </w:pPr>
      <w:r>
        <w:rPr>
          <w:rFonts w:ascii="Times New Roman" w:cs="Times New Roman" w:eastAsia="Times New Roman" w:hAnsi="Times New Roman"/>
          <w:sz w:val="19"/>
          <w:szCs w:val="19"/>
        </w:rPr>
        <w:t xml:space="preserve">Figure D-1. Three-axis orthogonal laser/camera assembly surrounding the 16 mm cubic glass medium. Each face hosts a co-registered laser write array and camera read array. The three remaining faces (−X, −Y, +Z) serve as monitoring and retroreflective confirmation surfaces.</w:t>
      </w:r>
    </w:p>
    <w:p>
      <w:pPr>
        <w:spacing w:after="80" w:before="160"/>
      </w:pPr>
      <w:r>
        <w:rPr>
          <w:rFonts w:ascii="Times New Roman" w:cs="Times New Roman" w:eastAsia="Times New Roman" w:hAnsi="Times New Roman"/>
          <w:b/>
          <w:bCs/>
          <w:sz w:val="22"/>
          <w:szCs w:val="22"/>
        </w:rPr>
        <w:t xml:space="preserve">1. Split-Beam Multi-Photon Firing Protocol</w:t>
      </w:r>
    </w:p>
    <w:p>
      <w:pPr>
        <w:spacing w:after="120" w:line="276" w:lineRule="auto"/>
        <w:jc w:val="both"/>
      </w:pPr>
      <w:r>
        <w:rPr>
          <w:rFonts w:ascii="Times New Roman" w:cs="Times New Roman" w:eastAsia="Times New Roman" w:hAnsi="Times New Roman"/>
          <w:sz w:val="22"/>
          <w:szCs w:val="22"/>
        </w:rPr>
        <w:t xml:space="preserve">To avoid thermal crystallization at the origin during vector generation, and to achieve spatial selectivity for both cardinal and diagonal ray modifications, the write mechanism splits the required breakdown energy across two or three laser arrays. Each array emits a synchronized, low-energy ultra-short pulse below the material's structural modification threshold (J &lt; J_threshold). These sub-threshold pulses pass through the glass matrix harmlessly in isolation. Spatial convergence occurs exclusively at the target coordinate intersection point, where combined multi-photon absorption forces the localized material past its ionization limit, modifying the refractive index cleanly from the center outward.</w:t>
      </w:r>
    </w:p>
    <w:p>
      <w:pPr>
        <w:spacing w:after="120" w:line="276" w:lineRule="auto"/>
        <w:jc w:val="both"/>
      </w:pPr>
      <w:r>
        <w:rPr>
          <w:rFonts w:ascii="Times New Roman" w:cs="Times New Roman" w:eastAsia="Times New Roman" w:hAnsi="Times New Roman"/>
          <w:sz w:val="22"/>
          <w:szCs w:val="22"/>
        </w:rPr>
        <w:t xml:space="preserve">For diagonal modifications (R₇–R₁₄), two or three arrays simultaneously contribute beams steered to converge at the target [±1,±1,±1] coordinate direction. The net polarization at the convergence point — determined by the Jones superposition of all contributing beam polarizations — sets the slow-axis orientation of the resulting modification. Pre-computed polarization maps for all 8 diagonal directions are stored in the SLM controller library.</w:t>
      </w:r>
    </w:p>
    <w:p>
      <w:pPr>
        <w:spacing w:after="80" w:before="160"/>
      </w:pPr>
      <w:r>
        <w:rPr>
          <w:rFonts w:ascii="Times New Roman" w:cs="Times New Roman" w:eastAsia="Times New Roman" w:hAnsi="Times New Roman"/>
          <w:b/>
          <w:bCs/>
          <w:sz w:val="22"/>
          <w:szCs w:val="22"/>
        </w:rPr>
        <w:t xml:space="preserve">2. Tomographic Optical Reconstruction</w:t>
      </w:r>
    </w:p>
    <w:p>
      <w:pPr>
        <w:spacing w:after="120" w:line="276" w:lineRule="auto"/>
        <w:jc w:val="both"/>
      </w:pPr>
      <w:r>
        <w:rPr>
          <w:rFonts w:ascii="Times New Roman" w:cs="Times New Roman" w:eastAsia="Times New Roman" w:hAnsi="Times New Roman"/>
          <w:sz w:val="22"/>
          <w:szCs w:val="22"/>
        </w:rPr>
        <w:t xml:space="preserve">During a read cycle, single-axis focus suffers from optical shadowing: voxels written on closer planes refract and scatter light passing to deeper layers. The three-axis camera system neutralizes this by conducting concurrent cross-profile imaging. The Bottom array captures the lateral (X,Y) projection; Side 1 and Side 2 capture axial profiles (X,Z and Y,Z respectively). For 14-ray voxel reconstruction, the consolidated optical signals are processed by a convolutional matrix engine performing real-time 3D tomographic alignment:</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Cardinal ray states (R₁–R₆): Identified by strong single-channel polarization signals in the camera whose axis is perpendicular to the modification direction.</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Diagonal ray states (R₇–R₁₄): Identified by characteristic split-signal patterns appearing simultaneously in two or three camera channels. Each of the 8 diagonal directions produces a unique three-camera signature that serves as its distinguishing fingerprint.</w:t>
      </w:r>
    </w:p>
    <w:p>
      <w:pPr>
        <w:pStyle w:val="ListParagraph"/>
        <w:numPr>
          <w:ilvl w:val="0"/>
          <w:numId w:val="2"/>
        </w:numPr>
        <w:spacing w:after="80"/>
        <w:ind w:left="720" w:hanging="360"/>
      </w:pPr>
      <w:r>
        <w:rPr>
          <w:rFonts w:ascii="Times New Roman" w:cs="Times New Roman" w:eastAsia="Times New Roman" w:hAnsi="Times New Roman"/>
          <w:sz w:val="22"/>
          <w:szCs w:val="22"/>
        </w:rPr>
        <w:t xml:space="preserve">Phase-shift magnitude: Recovered independently via phase-contrast channel intensity, providing the 4-bit phase value orthogonal to the directional state.</w:t>
      </w:r>
    </w:p>
    <w:p>
      <w:pPr>
        <w:spacing w:after="60"/>
      </w:pPr>
      <w:r>
        <w:t xml:space="preserve"/>
      </w:r>
    </w:p>
    <w:p>
      <w:pPr>
        <w:pBdr>
          <w:left w:val="thick" w:color="CC0000" w:sz="12" w:space="8"/>
        </w:pBdr>
        <w:spacing w:after="120" w:before="60"/>
        <w:ind w:left="360" w:right="360"/>
      </w:pPr>
      <w:r>
        <w:rPr>
          <w:rFonts w:ascii="Times New Roman" w:cs="Times New Roman" w:eastAsia="Times New Roman" w:hAnsi="Times New Roman"/>
          <w:color w:val="8B0000"/>
          <w:sz w:val="20"/>
          <w:szCs w:val="20"/>
        </w:rPr>
        <w:t xml:space="preserve">⚑  Engineering Note D-1: The cross-channel signature approach for diagonal ray identification depends on the signal-to-noise ratio of the split polarization signatures in the camera arrays. At high voxel fill density, adjacent-voxel interference may degrade signature discriminability. The CNN decoder must be trained on dense multi-ray configurations, and its reconstruction accuracy must be validated across the full voxel occupancy range from sparse (archival-phase writes) to dense (near-capacity). This is a key Phase 1 PoC characterization milestone.</w:t>
      </w:r>
    </w:p>
    <w:p>
      <w:pPr>
        <w:pBdr>
          <w:bottom w:val="single" w:color="444444" w:sz="6" w:space="1"/>
        </w:pBdr>
        <w:spacing w:after="160" w:before="160"/>
      </w:pPr>
      <w:r>
        <w:rPr>
          <w:sz w:val="4"/>
          <w:szCs w:val="4"/>
        </w:rPr>
        <w:t xml:space="preserve"/>
      </w:r>
    </w:p>
    <w:p>
      <w:pPr>
        <w:spacing w:after="60"/>
        <w:jc w:val="center"/>
      </w:pPr>
      <w:r>
        <w:rPr>
          <w:rFonts w:ascii="Times New Roman" w:cs="Times New Roman" w:eastAsia="Times New Roman" w:hAnsi="Times New Roman"/>
          <w:b w:val="false"/>
          <w:bCs w:val="false"/>
          <w:sz w:val="20"/>
          <w:szCs w:val="20"/>
        </w:rPr>
        <w:t xml:space="preserve">— End of Document —</w:t>
      </w:r>
    </w:p>
    <w:p>
      <w:pPr>
        <w:spacing w:after="0"/>
        <w:jc w:val="center"/>
      </w:pPr>
      <w:r>
        <w:rPr>
          <w:rFonts w:ascii="Times New Roman" w:cs="Times New Roman" w:eastAsia="Times New Roman" w:hAnsi="Times New Roman"/>
          <w:b w:val="false"/>
          <w:bCs w:val="false"/>
          <w:sz w:val="18"/>
          <w:szCs w:val="18"/>
        </w:rPr>
        <w:t xml:space="preserve">Draft v2.0 — Incorporating Formal Architectural Appendix — Patent/PoC Development</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AAAAA" w:sz="4" w:space="4"/>
      </w:pBdr>
      <w:spacing w:before="80"/>
      <w:jc w:val="right"/>
    </w:pPr>
    <w:r>
      <w:rPr>
        <w:rFonts w:ascii="Times New Roman" w:cs="Times New Roman" w:eastAsia="Times New Roman" w:hAnsi="Times New Roman"/>
        <w:sz w:val="18"/>
        <w:szCs w:val="18"/>
      </w:rPr>
      <w:t xml:space="preserve">DRAFT — Confidential — Patent/PoC Development     </w:t>
    </w:r>
    <w:r>
      <w:rPr>
        <w:rFonts w:ascii="Times New Roman" w:cs="Times New Roman" w:eastAsia="Times New Roman" w:hAnsi="Times New Roman"/>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2026-06-24T04:58:31.574Z</dcterms:created>
  <dcterms:modified xsi:type="dcterms:W3CDTF">2026-06-24T04:58:31.589Z</dcterms:modified>
</cp:coreProperties>
</file>

<file path=docProps/custom.xml><?xml version="1.0" encoding="utf-8"?>
<Properties xmlns="http://schemas.openxmlformats.org/officeDocument/2006/custom-properties" xmlns:vt="http://schemas.openxmlformats.org/officeDocument/2006/docPropsVTypes"/>
</file>